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pPr>
      <w:bookmarkStart w:id="9" w:name="_GoBack"/>
      <w:bookmarkEnd w:id="9"/>
    </w:p>
    <w:p>
      <w:pPr>
        <w:pStyle w:val="23"/>
        <w:jc w:val="center"/>
        <w:rPr>
          <w:color w:val="FF0000"/>
          <w:sz w:val="72"/>
          <w:szCs w:val="72"/>
        </w:rPr>
      </w:pPr>
      <w:r>
        <w:rPr>
          <w:rFonts w:hint="eastAsia"/>
          <w:color w:val="FF0000"/>
          <w:sz w:val="72"/>
          <w:szCs w:val="72"/>
        </w:rPr>
        <w:t>创业之星</w:t>
      </w:r>
    </w:p>
    <w:p>
      <w:pPr>
        <w:pStyle w:val="23"/>
        <w:jc w:val="center"/>
        <w:rPr>
          <w:rFonts w:ascii="黑体" w:eastAsia="黑体" w:cs="黑体"/>
          <w:b/>
          <w:color w:val="FF0000"/>
          <w:sz w:val="48"/>
          <w:szCs w:val="48"/>
        </w:rPr>
      </w:pPr>
      <w:r>
        <w:rPr>
          <w:rFonts w:ascii="黑体" w:eastAsia="黑体" w:cs="黑体"/>
          <w:b/>
          <w:color w:val="FF0000"/>
          <w:sz w:val="48"/>
          <w:szCs w:val="48"/>
        </w:rPr>
        <w:t>2019</w:t>
      </w:r>
      <w:r>
        <w:rPr>
          <w:rFonts w:hint="eastAsia" w:ascii="黑体" w:eastAsia="黑体" w:cs="黑体"/>
          <w:b/>
          <w:color w:val="FF0000"/>
          <w:sz w:val="48"/>
          <w:szCs w:val="48"/>
        </w:rPr>
        <w:t>“学创杯”</w:t>
      </w:r>
      <w:r>
        <w:rPr>
          <w:rFonts w:ascii="黑体" w:eastAsia="黑体" w:cs="黑体"/>
          <w:b/>
          <w:color w:val="FF0000"/>
          <w:sz w:val="48"/>
          <w:szCs w:val="48"/>
        </w:rPr>
        <w:t>全国大学生创业</w:t>
      </w:r>
    </w:p>
    <w:p>
      <w:pPr>
        <w:jc w:val="center"/>
        <w:rPr>
          <w:rFonts w:ascii="黑体" w:eastAsia="黑体"/>
          <w:b/>
          <w:color w:val="FF0000"/>
          <w:sz w:val="48"/>
          <w:szCs w:val="48"/>
        </w:rPr>
      </w:pPr>
      <w:r>
        <w:rPr>
          <w:rFonts w:ascii="黑体" w:eastAsia="黑体"/>
          <w:b/>
          <w:color w:val="FF0000"/>
          <w:sz w:val="48"/>
          <w:szCs w:val="48"/>
        </w:rPr>
        <w:t>综合模拟大赛</w:t>
      </w:r>
      <w:r>
        <w:rPr>
          <w:rFonts w:hint="eastAsia" w:ascii="黑体" w:eastAsia="黑体"/>
          <w:b/>
          <w:color w:val="FF0000"/>
          <w:sz w:val="48"/>
          <w:szCs w:val="48"/>
        </w:rPr>
        <w:t>竞赛平台</w:t>
      </w:r>
    </w:p>
    <w:p>
      <w:pPr>
        <w:jc w:val="center"/>
        <w:rPr>
          <w:rFonts w:ascii="黑体" w:eastAsia="黑体"/>
          <w:color w:val="CC0000"/>
          <w:sz w:val="48"/>
          <w:szCs w:val="48"/>
        </w:rPr>
      </w:pPr>
    </w:p>
    <w:p>
      <w:pPr>
        <w:jc w:val="center"/>
        <w:rPr>
          <w:rFonts w:ascii="宋体" w:cs="宋体"/>
          <w:b/>
          <w:sz w:val="36"/>
          <w:szCs w:val="36"/>
        </w:rPr>
      </w:pPr>
      <w:r>
        <w:rPr>
          <w:rFonts w:hint="eastAsia" w:ascii="宋体" w:cs="宋体"/>
          <w:b/>
          <w:sz w:val="36"/>
          <w:szCs w:val="36"/>
        </w:rPr>
        <w:t>智能手环数据规则</w:t>
      </w:r>
    </w:p>
    <w:p>
      <w:pPr>
        <w:jc w:val="center"/>
        <w:rPr>
          <w:rFonts w:ascii="宋体" w:cs="宋体"/>
          <w:b/>
          <w:sz w:val="36"/>
          <w:szCs w:val="36"/>
        </w:rPr>
      </w:pPr>
    </w:p>
    <w:p>
      <w:pPr>
        <w:jc w:val="center"/>
        <w:rPr>
          <w:b/>
        </w:rPr>
      </w:pPr>
    </w:p>
    <w:p/>
    <w:p>
      <w:pPr>
        <w:pStyle w:val="25"/>
        <w:spacing w:line="480" w:lineRule="auto"/>
      </w:pPr>
      <w:r>
        <w:rPr>
          <w:lang w:val="zh-CN"/>
        </w:rPr>
        <w:t>目录</w:t>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"_Toc380594054" </w:instrText>
      </w:r>
      <w:r>
        <w:fldChar w:fldCharType="separate"/>
      </w:r>
      <w:r>
        <w:rPr>
          <w:rStyle w:val="17"/>
          <w:rFonts w:hint="eastAsia"/>
        </w:rPr>
        <w:t>第一部分</w:t>
      </w:r>
      <w:r>
        <w:rPr>
          <w:rFonts w:asciiTheme="minorHAnsi" w:hAnsiTheme="minorHAnsi" w:eastAsiaTheme="minorEastAsia" w:cstheme="minorBidi"/>
          <w:kern w:val="2"/>
          <w:sz w:val="21"/>
        </w:rPr>
        <w:tab/>
      </w:r>
      <w:r>
        <w:rPr>
          <w:rStyle w:val="17"/>
          <w:rFonts w:hint="eastAsia"/>
        </w:rPr>
        <w:t>经营概述</w:t>
      </w:r>
      <w:r>
        <w:tab/>
      </w:r>
      <w:r>
        <w:fldChar w:fldCharType="begin"/>
      </w:r>
      <w:r>
        <w:instrText xml:space="preserve"> PAGEREF _Toc380594054 \h </w:instrText>
      </w:r>
      <w:r>
        <w:fldChar w:fldCharType="separate"/>
      </w:r>
      <w:r>
        <w:t>2</w:t>
      </w:r>
      <w:r>
        <w:fldChar w:fldCharType="end"/>
      </w:r>
      <w:r>
        <w:fldChar w:fldCharType="end"/>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"_Toc380594055" </w:instrText>
      </w:r>
      <w:r>
        <w:fldChar w:fldCharType="separate"/>
      </w:r>
      <w:r>
        <w:rPr>
          <w:rStyle w:val="17"/>
          <w:rFonts w:hint="eastAsia"/>
        </w:rPr>
        <w:t>第二部分</w:t>
      </w:r>
      <w:r>
        <w:rPr>
          <w:rFonts w:asciiTheme="minorHAnsi" w:hAnsiTheme="minorHAnsi" w:eastAsiaTheme="minorEastAsia" w:cstheme="minorBidi"/>
          <w:kern w:val="2"/>
          <w:sz w:val="21"/>
        </w:rPr>
        <w:tab/>
      </w:r>
      <w:r>
        <w:rPr>
          <w:rStyle w:val="17"/>
          <w:rFonts w:hint="eastAsia"/>
        </w:rPr>
        <w:t>数据规则</w:t>
      </w:r>
      <w:r>
        <w:tab/>
      </w:r>
      <w:r>
        <w:fldChar w:fldCharType="begin"/>
      </w:r>
      <w:r>
        <w:instrText xml:space="preserve"> PAGEREF _Toc380594055 \h </w:instrText>
      </w:r>
      <w:r>
        <w:fldChar w:fldCharType="separate"/>
      </w:r>
      <w:r>
        <w:t>3</w:t>
      </w:r>
      <w:r>
        <w:fldChar w:fldCharType="end"/>
      </w:r>
      <w:r>
        <w:fldChar w:fldCharType="end"/>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"_Toc380594056" </w:instrText>
      </w:r>
      <w:r>
        <w:fldChar w:fldCharType="separate"/>
      </w:r>
      <w:r>
        <w:rPr>
          <w:rStyle w:val="17"/>
          <w:rFonts w:hint="eastAsia"/>
        </w:rPr>
        <w:t>第三部分</w:t>
      </w:r>
      <w:r>
        <w:rPr>
          <w:rFonts w:asciiTheme="minorHAnsi" w:hAnsiTheme="minorHAnsi" w:eastAsiaTheme="minorEastAsia" w:cstheme="minorBidi"/>
          <w:kern w:val="2"/>
          <w:sz w:val="21"/>
        </w:rPr>
        <w:tab/>
      </w:r>
      <w:r>
        <w:rPr>
          <w:rStyle w:val="17"/>
          <w:rFonts w:hint="eastAsia"/>
        </w:rPr>
        <w:t>消费群体</w:t>
      </w:r>
      <w:r>
        <w:tab/>
      </w:r>
      <w:r>
        <w:fldChar w:fldCharType="begin"/>
      </w:r>
      <w:r>
        <w:instrText xml:space="preserve"> PAGEREF _Toc380594056 \h </w:instrText>
      </w:r>
      <w:r>
        <w:fldChar w:fldCharType="separate"/>
      </w:r>
      <w:r>
        <w:t>5</w:t>
      </w:r>
      <w:r>
        <w:fldChar w:fldCharType="end"/>
      </w:r>
      <w:r>
        <w:fldChar w:fldCharType="end"/>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"_Toc380594057" </w:instrText>
      </w:r>
      <w:r>
        <w:fldChar w:fldCharType="separate"/>
      </w:r>
      <w:r>
        <w:rPr>
          <w:rStyle w:val="17"/>
          <w:rFonts w:hint="eastAsia"/>
        </w:rPr>
        <w:t>第四部分</w:t>
      </w:r>
      <w:r>
        <w:rPr>
          <w:rFonts w:asciiTheme="minorHAnsi" w:hAnsiTheme="minorHAnsi" w:eastAsiaTheme="minorEastAsia" w:cstheme="minorBidi"/>
          <w:kern w:val="2"/>
          <w:sz w:val="21"/>
        </w:rPr>
        <w:tab/>
      </w:r>
      <w:r>
        <w:rPr>
          <w:rStyle w:val="17"/>
          <w:rFonts w:hint="eastAsia"/>
        </w:rPr>
        <w:t>设计研发</w:t>
      </w:r>
      <w:r>
        <w:tab/>
      </w:r>
      <w:r>
        <w:fldChar w:fldCharType="begin"/>
      </w:r>
      <w:r>
        <w:instrText xml:space="preserve"> PAGEREF _Toc380594057 \h </w:instrText>
      </w:r>
      <w:r>
        <w:fldChar w:fldCharType="separate"/>
      </w:r>
      <w:r>
        <w:t>7</w:t>
      </w:r>
      <w:r>
        <w:fldChar w:fldCharType="end"/>
      </w:r>
      <w:r>
        <w:fldChar w:fldCharType="end"/>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"_Toc380594058" </w:instrText>
      </w:r>
      <w:r>
        <w:fldChar w:fldCharType="separate"/>
      </w:r>
      <w:r>
        <w:rPr>
          <w:rStyle w:val="17"/>
          <w:rFonts w:hint="eastAsia"/>
        </w:rPr>
        <w:t>第五部分</w:t>
      </w:r>
      <w:r>
        <w:rPr>
          <w:rFonts w:asciiTheme="minorHAnsi" w:hAnsiTheme="minorHAnsi" w:eastAsiaTheme="minorEastAsia" w:cstheme="minorBidi"/>
          <w:kern w:val="2"/>
          <w:sz w:val="21"/>
        </w:rPr>
        <w:tab/>
      </w:r>
      <w:r>
        <w:rPr>
          <w:rStyle w:val="17"/>
          <w:rFonts w:hint="eastAsia"/>
        </w:rPr>
        <w:t>生产制造</w:t>
      </w:r>
      <w:r>
        <w:tab/>
      </w:r>
      <w:r>
        <w:fldChar w:fldCharType="begin"/>
      </w:r>
      <w:r>
        <w:instrText xml:space="preserve"> PAGEREF _Toc380594058 \h </w:instrText>
      </w:r>
      <w:r>
        <w:fldChar w:fldCharType="separate"/>
      </w:r>
      <w:r>
        <w:t>7</w:t>
      </w:r>
      <w:r>
        <w:fldChar w:fldCharType="end"/>
      </w:r>
      <w:r>
        <w:fldChar w:fldCharType="end"/>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"_Toc380594059" </w:instrText>
      </w:r>
      <w:r>
        <w:fldChar w:fldCharType="separate"/>
      </w:r>
      <w:r>
        <w:rPr>
          <w:rStyle w:val="17"/>
          <w:rFonts w:hint="eastAsia"/>
        </w:rPr>
        <w:t>第六部分</w:t>
      </w:r>
      <w:r>
        <w:rPr>
          <w:rFonts w:asciiTheme="minorHAnsi" w:hAnsiTheme="minorHAnsi" w:eastAsiaTheme="minorEastAsia" w:cstheme="minorBidi"/>
          <w:kern w:val="2"/>
          <w:sz w:val="21"/>
        </w:rPr>
        <w:tab/>
      </w:r>
      <w:r>
        <w:rPr>
          <w:rStyle w:val="17"/>
          <w:rFonts w:hint="eastAsia"/>
        </w:rPr>
        <w:t>市场营销</w:t>
      </w:r>
      <w:r>
        <w:tab/>
      </w:r>
      <w:r>
        <w:fldChar w:fldCharType="begin"/>
      </w:r>
      <w:r>
        <w:instrText xml:space="preserve"> PAGEREF _Toc380594059 \h </w:instrText>
      </w:r>
      <w:r>
        <w:fldChar w:fldCharType="separate"/>
      </w:r>
      <w:r>
        <w:t>12</w:t>
      </w:r>
      <w:r>
        <w:fldChar w:fldCharType="end"/>
      </w:r>
      <w:r>
        <w:fldChar w:fldCharType="end"/>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"_Toc380594060" </w:instrText>
      </w:r>
      <w:r>
        <w:fldChar w:fldCharType="separate"/>
      </w:r>
      <w:r>
        <w:rPr>
          <w:rStyle w:val="17"/>
          <w:rFonts w:hint="eastAsia"/>
        </w:rPr>
        <w:t>第七部分</w:t>
      </w:r>
      <w:r>
        <w:rPr>
          <w:rFonts w:asciiTheme="minorHAnsi" w:hAnsiTheme="minorHAnsi" w:eastAsiaTheme="minorEastAsia" w:cstheme="minorBidi"/>
          <w:kern w:val="2"/>
          <w:sz w:val="21"/>
        </w:rPr>
        <w:tab/>
      </w:r>
      <w:r>
        <w:rPr>
          <w:rStyle w:val="17"/>
          <w:rFonts w:hint="eastAsia"/>
        </w:rPr>
        <w:t>评分说明</w:t>
      </w:r>
      <w:r>
        <w:tab/>
      </w:r>
      <w:r>
        <w:fldChar w:fldCharType="begin"/>
      </w:r>
      <w:r>
        <w:instrText xml:space="preserve"> PAGEREF _Toc380594060 \h </w:instrText>
      </w:r>
      <w:r>
        <w:fldChar w:fldCharType="separate"/>
      </w:r>
      <w:r>
        <w:t>14</w:t>
      </w:r>
      <w:r>
        <w:fldChar w:fldCharType="end"/>
      </w:r>
      <w:r>
        <w:fldChar w:fldCharType="end"/>
      </w:r>
    </w:p>
    <w:p>
      <w:pPr>
        <w:pStyle w:val="7"/>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"_Toc380594061" </w:instrText>
      </w:r>
      <w:r>
        <w:fldChar w:fldCharType="separate"/>
      </w:r>
      <w:r>
        <w:rPr>
          <w:rStyle w:val="17"/>
          <w:rFonts w:hint="eastAsia"/>
        </w:rPr>
        <w:t>第八部分</w:t>
      </w:r>
      <w:r>
        <w:rPr>
          <w:rFonts w:asciiTheme="minorHAnsi" w:hAnsiTheme="minorHAnsi" w:eastAsiaTheme="minorEastAsia" w:cstheme="minorBidi"/>
          <w:kern w:val="2"/>
          <w:sz w:val="21"/>
        </w:rPr>
        <w:tab/>
      </w:r>
      <w:r>
        <w:rPr>
          <w:rStyle w:val="17"/>
          <w:rFonts w:hint="eastAsia"/>
        </w:rPr>
        <w:t>季度结算</w:t>
      </w:r>
      <w:r>
        <w:tab/>
      </w:r>
      <w:r>
        <w:fldChar w:fldCharType="begin"/>
      </w:r>
      <w:r>
        <w:instrText xml:space="preserve"> PAGEREF _Toc380594061 \h </w:instrText>
      </w:r>
      <w:r>
        <w:fldChar w:fldCharType="separate"/>
      </w:r>
      <w:r>
        <w:t>15</w:t>
      </w:r>
      <w:r>
        <w:fldChar w:fldCharType="end"/>
      </w:r>
      <w:r>
        <w:fldChar w:fldCharType="end"/>
      </w:r>
    </w:p>
    <w:p>
      <w:pPr>
        <w:spacing w:line="480" w:lineRule="auto"/>
      </w:pPr>
      <w:r>
        <w:fldChar w:fldCharType="end"/>
      </w:r>
    </w:p>
    <w:p/>
    <w:p/>
    <w:p/>
    <w:p>
      <w:pPr>
        <w:pStyle w:val="2"/>
        <w:numPr>
          <w:ilvl w:val="0"/>
          <w:numId w:val="1"/>
        </w:numPr>
        <w:rPr>
          <w:sz w:val="32"/>
          <w:szCs w:val="32"/>
        </w:rPr>
      </w:pPr>
      <w:bookmarkStart w:id="0" w:name="_Toc380594054"/>
      <w:r>
        <w:rPr>
          <w:rStyle w:val="16"/>
          <w:rFonts w:hint="eastAsia"/>
          <w:b w:val="0"/>
          <w:bCs w:val="0"/>
          <w:sz w:val="32"/>
          <w:szCs w:val="32"/>
        </w:rPr>
        <w:t>经营概述</w:t>
      </w:r>
      <w:bookmarkEnd w:id="0"/>
    </w:p>
    <w:p>
      <w:pPr>
        <w:widowControl/>
        <w:jc w:val="left"/>
        <w:rPr>
          <w:rFonts w:ascii="宋体" w:hAnsi="宋体" w:cs="宋体"/>
          <w:color w:val="000000"/>
          <w:kern w:val="0"/>
          <w:sz w:val="20"/>
          <w:szCs w:val="20"/>
        </w:rPr>
      </w:pPr>
      <w:r>
        <w:rPr>
          <w:rFonts w:hint="eastAsia" w:asciiTheme="minorEastAsia" w:hAnsiTheme="minorEastAsia" w:eastAsiaTheme="minorEastAsia"/>
          <w:color w:val="000000"/>
          <w:szCs w:val="21"/>
        </w:rPr>
        <w:t>欢迎您，未来的</w:t>
      </w:r>
      <w:r>
        <w:rPr>
          <w:rFonts w:hint="eastAsia" w:asciiTheme="minorEastAsia" w:hAnsiTheme="minorEastAsia" w:eastAsiaTheme="minorEastAsia"/>
          <w:b/>
          <w:bCs/>
          <w:color w:val="CC0000"/>
          <w:szCs w:val="21"/>
        </w:rPr>
        <w:t>创业之星</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你们即将开始经营一家</w:t>
      </w:r>
      <w:r>
        <w:rPr>
          <w:rFonts w:hint="eastAsia" w:ascii="宋体"/>
          <w:color w:val="FF0000"/>
          <w:kern w:val="0"/>
          <w:szCs w:val="21"/>
        </w:rPr>
        <w:t>研究、开发、生产、批发及零售：智能手环产品</w:t>
      </w:r>
      <w:r>
        <w:rPr>
          <w:rFonts w:hint="eastAsia" w:asciiTheme="minorEastAsia" w:hAnsiTheme="minorEastAsia" w:eastAsiaTheme="minorEastAsia"/>
          <w:color w:val="000000"/>
          <w:szCs w:val="21"/>
        </w:rPr>
        <w:t>行业的公司，目前已经有</w:t>
      </w:r>
      <w:r>
        <w:rPr>
          <w:rFonts w:hint="eastAsia" w:asciiTheme="minorEastAsia" w:hAnsiTheme="minorEastAsia" w:eastAsiaTheme="minorEastAsia"/>
          <w:color w:val="FF0000"/>
          <w:szCs w:val="21"/>
        </w:rPr>
        <w:t>N</w:t>
      </w:r>
      <w:r>
        <w:rPr>
          <w:rFonts w:asciiTheme="minorEastAsia" w:hAnsiTheme="minorEastAsia" w:eastAsiaTheme="minorEastAsia"/>
          <w:color w:val="FF0000"/>
          <w:szCs w:val="21"/>
        </w:rPr>
        <w:t>(</w:t>
      </w:r>
      <w:r>
        <w:rPr>
          <w:rFonts w:hint="eastAsia" w:asciiTheme="minorEastAsia" w:hAnsiTheme="minorEastAsia" w:eastAsiaTheme="minorEastAsia"/>
          <w:color w:val="FF0000"/>
          <w:szCs w:val="21"/>
        </w:rPr>
        <w:t>根据参与的小组数确定</w:t>
      </w:r>
      <w:r>
        <w:rPr>
          <w:rFonts w:asciiTheme="minorEastAsia" w:hAnsiTheme="minorEastAsia" w:eastAsiaTheme="minorEastAsia"/>
          <w:color w:val="FF0000"/>
          <w:szCs w:val="21"/>
        </w:rPr>
        <w:t>)</w:t>
      </w:r>
      <w:r>
        <w:rPr>
          <w:rFonts w:hint="eastAsia" w:asciiTheme="minorEastAsia" w:hAnsiTheme="minorEastAsia" w:eastAsiaTheme="minorEastAsia"/>
          <w:color w:val="000000"/>
          <w:szCs w:val="21"/>
        </w:rPr>
        <w:t xml:space="preserve">家企业进入这个行业，你们将与其他企业展开激烈的市场竞争，当然也会有合乎各自利益的双赢合作。每个公司在经营之初，都将拥有一笔来自股东的 </w:t>
      </w:r>
      <w:r>
        <w:rPr>
          <w:rFonts w:hint="eastAsia" w:asciiTheme="minorEastAsia" w:hAnsiTheme="minorEastAsia" w:eastAsiaTheme="minorEastAsia"/>
          <w:color w:val="FF0000"/>
          <w:szCs w:val="21"/>
        </w:rPr>
        <w:t>600,000.00</w:t>
      </w:r>
      <w:r>
        <w:rPr>
          <w:rFonts w:hint="eastAsia" w:asciiTheme="minorEastAsia" w:hAnsiTheme="minorEastAsia" w:eastAsiaTheme="minorEastAsia"/>
          <w:color w:val="000000"/>
          <w:szCs w:val="21"/>
        </w:rPr>
        <w:t>元的创业资金，用以展开各自的经营，公司的股东团队即是公司的管理团队，公司将经历</w:t>
      </w:r>
      <w:r>
        <w:rPr>
          <w:rFonts w:hint="eastAsia" w:asciiTheme="minorEastAsia" w:hAnsiTheme="minorEastAsia" w:eastAsiaTheme="minorEastAsia"/>
          <w:color w:val="FF0000"/>
          <w:szCs w:val="21"/>
        </w:rPr>
        <w:t>8</w:t>
      </w:r>
      <w:r>
        <w:rPr>
          <w:rFonts w:hint="eastAsia" w:asciiTheme="minorEastAsia" w:hAnsiTheme="minorEastAsia" w:eastAsiaTheme="minorEastAsia"/>
          <w:color w:val="000000"/>
          <w:szCs w:val="21"/>
        </w:rPr>
        <w:t>季度</w:t>
      </w:r>
      <w:r>
        <w:rPr>
          <w:rFonts w:hint="eastAsia" w:asciiTheme="minorEastAsia" w:hAnsiTheme="minorEastAsia" w:eastAsiaTheme="minorEastAsia"/>
          <w:color w:val="FF0000"/>
          <w:szCs w:val="21"/>
        </w:rPr>
        <w:t>(比赛时可能缩短为</w:t>
      </w:r>
      <w:r>
        <w:rPr>
          <w:rFonts w:asciiTheme="minorEastAsia" w:hAnsiTheme="minorEastAsia" w:eastAsiaTheme="minorEastAsia"/>
          <w:color w:val="FF0000"/>
          <w:szCs w:val="21"/>
        </w:rPr>
        <w:t xml:space="preserve">4-6 </w:t>
      </w:r>
      <w:r>
        <w:rPr>
          <w:rFonts w:hint="eastAsia" w:asciiTheme="minorEastAsia" w:hAnsiTheme="minorEastAsia" w:eastAsiaTheme="minorEastAsia"/>
          <w:color w:val="FF0000"/>
          <w:szCs w:val="21"/>
        </w:rPr>
        <w:t>季度)</w:t>
      </w:r>
      <w:r>
        <w:rPr>
          <w:rFonts w:hint="eastAsia" w:asciiTheme="minorEastAsia" w:hAnsiTheme="minorEastAsia" w:eastAsiaTheme="minorEastAsia"/>
          <w:color w:val="000000"/>
          <w:szCs w:val="21"/>
        </w:rPr>
        <w:t xml:space="preserve">的经营，每个季度公司都有机会进行新产品设计， 新产品研发， 产品原料采购， 生产厂房变更， 生产设备变更， 生产工人招聘、调整、培训， 产品生产， 产品广告宣传， 新市场开发， 销售人员招聘、调整、培训， 产品订单报价 等经营活动，每个团队都需要仔细分析讨论每一步决策任务，并形成最后一致的决策意见输入计算机。希望您的公司在经历完若干个经营周期后，成为本行业的佼佼者。 </w:t>
      </w:r>
      <w:r>
        <w:rPr>
          <w:rFonts w:ascii="宋体" w:hAnsi="宋体" w:cs="宋体"/>
          <w:color w:val="000000"/>
          <w:kern w:val="0"/>
          <w:sz w:val="20"/>
          <w:szCs w:val="20"/>
        </w:rPr>
        <w:drawing>
          <wp:inline distT="0" distB="0" distL="0" distR="0">
            <wp:extent cx="4977130" cy="5046345"/>
            <wp:effectExtent l="0" t="0" r="0"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6"/>
                    <a:srcRect/>
                    <a:stretch>
                      <a:fillRect/>
                    </a:stretch>
                  </pic:blipFill>
                  <pic:spPr>
                    <a:xfrm>
                      <a:off x="0" y="0"/>
                      <a:ext cx="4977130" cy="5046345"/>
                    </a:xfrm>
                    <a:prstGeom prst="rect">
                      <a:avLst/>
                    </a:prstGeom>
                    <a:noFill/>
                    <a:ln w="9525">
                      <a:noFill/>
                      <a:miter lim="800000"/>
                      <a:headEnd/>
                      <a:tailEnd/>
                    </a:ln>
                  </pic:spPr>
                </pic:pic>
              </a:graphicData>
            </a:graphic>
          </wp:inline>
        </w:drawing>
      </w:r>
    </w:p>
    <w:p>
      <w:pPr>
        <w:pStyle w:val="2"/>
        <w:numPr>
          <w:ilvl w:val="0"/>
          <w:numId w:val="1"/>
        </w:numPr>
        <w:rPr>
          <w:rStyle w:val="16"/>
          <w:b w:val="0"/>
          <w:bCs w:val="0"/>
          <w:sz w:val="32"/>
          <w:szCs w:val="32"/>
        </w:rPr>
      </w:pPr>
      <w:bookmarkStart w:id="1" w:name="_Toc380594055"/>
      <w:r>
        <w:rPr>
          <w:rStyle w:val="16"/>
          <w:rFonts w:hint="eastAsia"/>
          <w:b w:val="0"/>
          <w:bCs w:val="0"/>
          <w:sz w:val="32"/>
          <w:szCs w:val="32"/>
        </w:rPr>
        <w:t>数据规则</w:t>
      </w:r>
      <w:bookmarkEnd w:id="1"/>
    </w:p>
    <w:tbl>
      <w:tblPr>
        <w:tblStyle w:val="10"/>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0"/>
        <w:gridCol w:w="1276"/>
        <w:gridCol w:w="5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920" w:type="dxa"/>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项目</w:t>
            </w:r>
          </w:p>
        </w:tc>
        <w:tc>
          <w:tcPr>
            <w:tcW w:w="1276" w:type="dxa"/>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当前值</w:t>
            </w:r>
          </w:p>
        </w:tc>
        <w:tc>
          <w:tcPr>
            <w:tcW w:w="5264" w:type="dxa"/>
            <w:vAlign w:val="center"/>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公司初始现金</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600,000.00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正式经营开始之前每家公司获得的注册资金（实收资本）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公司注册设立费用</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3,000.00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公司设立开办过程中所发生的所有相关的费用。该笔费用在第一季度初自动扣除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办公室租金</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10,000.00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公司租赁办公场地的费用，每季度初自动扣除当季的租金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所得税率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企业经营当季如果有利润，按该税率在下季初缴纳所得税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营业税率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根据企业营业外收入总额，按该税率缴纳营业税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增值税率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按该税率计算企业在采购商品时所支付的增值税款，即进项税，以及企业销售商品所收取的增值税款，即销项税额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城建税率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根据企业应缴纳的增值税、营业税，按该税率缴纳城市建设维护税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教育附加税率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根据企业应缴纳的增值税、营业税，按该税率缴纳教育附加税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地方教育附加税率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根据企业应缴纳的增值税、营业税，按该税率缴纳地方教育附加税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行政管理费</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1,000.00元/1人</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公司每季度运营的行政管理费用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小组人员工资</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10,000.00/组</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小组管理团队所有人员的季度工资，不分人数多少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养老保险比率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根据工资总额按该比率缴纳养老保险费用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失业保险比率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根据工资总额按该比率缴纳失业保险费用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工伤保险比率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0.50%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根据工资总额按该比率缴纳工伤保险费用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生育保险比率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0.60%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根据工资总额按该比率缴纳生育保险费用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医疗保险比率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11.50%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根据工资总额按该比率缴纳医疗保险费用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w:t>
            </w:r>
            <w:r>
              <w:rPr>
                <w:rFonts w:hint="eastAsia" w:ascii="Arial" w:hAnsi="Arial" w:cs="Arial"/>
                <w:color w:val="000000"/>
                <w:kern w:val="0"/>
                <w:sz w:val="20"/>
                <w:szCs w:val="20"/>
              </w:rPr>
              <w:t>签订合同</w:t>
            </w:r>
            <w:r>
              <w:rPr>
                <w:rFonts w:ascii="Arial" w:hAnsi="Arial" w:cs="Arial"/>
                <w:color w:val="000000"/>
                <w:kern w:val="0"/>
                <w:sz w:val="20"/>
                <w:szCs w:val="20"/>
              </w:rPr>
              <w:t>罚款</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2,000.00/人</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在入职后没有给员工</w:t>
            </w:r>
            <w:r>
              <w:rPr>
                <w:rFonts w:hint="eastAsia" w:ascii="Arial" w:hAnsi="Arial" w:cs="Arial"/>
                <w:color w:val="000000"/>
                <w:kern w:val="0"/>
                <w:sz w:val="20"/>
                <w:szCs w:val="20"/>
              </w:rPr>
              <w:t>签订合同</w:t>
            </w:r>
            <w:r>
              <w:rPr>
                <w:rFonts w:ascii="Arial" w:hAnsi="Arial" w:cs="Arial"/>
                <w:color w:val="000000"/>
                <w:kern w:val="0"/>
                <w:sz w:val="20"/>
                <w:szCs w:val="20"/>
              </w:rPr>
              <w:t>的情况下按该金额缴纳罚款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普通借款利率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正常向银行申请借款的利率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普通借款还款周期(季度)</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普通借款还款周期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紧急借款利率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公司资金链断裂时，系统会自动给公司申请紧急借款时的利率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紧急借款还款周期(季度)</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紧急借款还款周期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同期最大借款授信额度</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200,000.00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同一个周期内，普通借款允许的最大借款金额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一账期应收账款贴现率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在一个季度内到期的应收账款贴现率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二账期应收账款贴现率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在二个季度内到期的应收账款贴现率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三账期应收账款贴现率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在三个季度内到期的应收账款贴现率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四账期应收账款贴现率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在四个季度内到期的应收账款贴现率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公司产品上限</w:t>
            </w:r>
          </w:p>
        </w:tc>
        <w:tc>
          <w:tcPr>
            <w:tcW w:w="1276" w:type="dxa"/>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8</w:t>
            </w:r>
            <w:r>
              <w:rPr>
                <w:rFonts w:ascii="Arial" w:hAnsi="Arial" w:cs="Arial"/>
                <w:color w:val="000000"/>
                <w:kern w:val="0"/>
                <w:sz w:val="20"/>
                <w:szCs w:val="20"/>
              </w:rPr>
              <w:t>个</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每个公司最多能设计研发的产品类别数量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厂房折旧率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每季度按该折旧率对购买的厂房原值计提折旧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设备折旧率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每季度按该折旧率对购买的设备原值计提折旧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未交付订单的罚金比率</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未按订单额及时交付的订单，按该比率对未交付的部分缴纳处罚金，订单违约金 = (该订单最高限价 * 未交付订单数量) * 该比例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产品设计费用</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30,000.00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产品设计修改的费用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产品研发每期投入</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20,000.00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产品研发每期投入的资金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广告累计影响时间</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3季度</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投入广告后能够对定单分配进行影响的时间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紧急贷款扣分</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5.00分/次</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出现紧急贷款时。综合分值扣除分数/次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每个产品改造加工费</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r>
              <w:rPr>
                <w:rFonts w:hint="eastAsia" w:ascii="Arial" w:hAnsi="Arial" w:cs="Arial"/>
                <w:color w:val="000000"/>
                <w:kern w:val="0"/>
                <w:sz w:val="20"/>
                <w:szCs w:val="20"/>
              </w:rPr>
              <w:t>.</w:t>
            </w:r>
            <w:r>
              <w:rPr>
                <w:rFonts w:ascii="Arial" w:hAnsi="Arial" w:cs="Arial"/>
                <w:color w:val="000000"/>
                <w:kern w:val="0"/>
                <w:sz w:val="20"/>
                <w:szCs w:val="20"/>
              </w:rPr>
              <w:t>0元</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订单交易时，原始订单报价产品与买方接受订单的产品之间功能差异的改造的加工费。单个产品改造费 = 买方产品比卖方产品少的原料配制无折扣价之和 + 差异数量 * 产品改造加工费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每期广告最低投入</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1,000.00元</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每期广告最低投入，小于该数额将不允许投入。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每期组间交易每期限制金额</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10,000.00元</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每期组间交易每期限制金额。买入+卖出的原料和订单总金额不能超过此限制。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组间交易信息公示时间(分钟)</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5分钟</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组间交易信息公示时间(分钟)，在此时间内，发布交易信息者不能结束交易。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订单报价，最低价比例</w:t>
            </w:r>
          </w:p>
        </w:tc>
        <w:tc>
          <w:tcPr>
            <w:tcW w:w="1276"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60.00%</w:t>
            </w:r>
          </w:p>
        </w:tc>
        <w:tc>
          <w:tcPr>
            <w:tcW w:w="5264" w:type="dxa"/>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订单报价，最低价比例。最低价 = 上季度同一市场同一渠道同一消费群体所有报价产品平均数 * 该比例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920" w:type="dxa"/>
            <w:vAlign w:val="center"/>
          </w:tcPr>
          <w:p>
            <w:pPr>
              <w:widowControl/>
              <w:jc w:val="center"/>
              <w:rPr>
                <w:rFonts w:ascii="Arial" w:hAnsi="Arial" w:cs="Arial"/>
                <w:color w:val="000000"/>
                <w:sz w:val="20"/>
                <w:szCs w:val="20"/>
              </w:rPr>
            </w:pPr>
          </w:p>
        </w:tc>
        <w:tc>
          <w:tcPr>
            <w:tcW w:w="1276" w:type="dxa"/>
            <w:vAlign w:val="center"/>
          </w:tcPr>
          <w:p>
            <w:pPr>
              <w:widowControl/>
              <w:jc w:val="center"/>
              <w:rPr>
                <w:rFonts w:ascii="Arial" w:hAnsi="Arial" w:cs="Arial"/>
                <w:color w:val="000000"/>
                <w:sz w:val="20"/>
                <w:szCs w:val="20"/>
              </w:rPr>
            </w:pPr>
          </w:p>
        </w:tc>
        <w:tc>
          <w:tcPr>
            <w:tcW w:w="5264" w:type="dxa"/>
            <w:vAlign w:val="center"/>
          </w:tcPr>
          <w:p>
            <w:pPr>
              <w:widowControl/>
              <w:jc w:val="center"/>
              <w:rPr>
                <w:rFonts w:ascii="Arial" w:hAnsi="Arial" w:cs="Arial"/>
                <w:color w:val="000000"/>
                <w:sz w:val="20"/>
                <w:szCs w:val="20"/>
              </w:rPr>
            </w:pPr>
          </w:p>
        </w:tc>
      </w:tr>
    </w:tbl>
    <w:p>
      <w:pPr>
        <w:rPr>
          <w:color w:val="FF0000"/>
          <w:szCs w:val="21"/>
        </w:rPr>
      </w:pPr>
      <w:r>
        <w:rPr>
          <w:rFonts w:hint="eastAsia"/>
          <w:color w:val="FF0000"/>
          <w:szCs w:val="21"/>
        </w:rPr>
        <w:t>注意：组间交易比赛期间不开放。</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rPr>
      </w:pPr>
    </w:p>
    <w:p>
      <w:pPr>
        <w:pStyle w:val="2"/>
        <w:numPr>
          <w:ilvl w:val="0"/>
          <w:numId w:val="1"/>
        </w:numPr>
        <w:rPr>
          <w:rStyle w:val="16"/>
          <w:b w:val="0"/>
          <w:bCs w:val="0"/>
          <w:sz w:val="32"/>
          <w:szCs w:val="32"/>
        </w:rPr>
      </w:pPr>
      <w:bookmarkStart w:id="2" w:name="_Toc380594056"/>
      <w:r>
        <w:rPr>
          <w:rStyle w:val="16"/>
          <w:rFonts w:hint="eastAsia"/>
          <w:b w:val="0"/>
          <w:bCs w:val="0"/>
          <w:sz w:val="32"/>
          <w:szCs w:val="32"/>
        </w:rPr>
        <w:t>消费群体</w:t>
      </w:r>
      <w:bookmarkEnd w:id="2"/>
    </w:p>
    <w:p>
      <w:pPr>
        <w:rPr>
          <w:rFonts w:ascii="Arial" w:hAnsi="Arial" w:cs="Arial"/>
          <w:color w:val="000000"/>
          <w:kern w:val="0"/>
          <w:sz w:val="20"/>
          <w:szCs w:val="20"/>
        </w:rPr>
      </w:pPr>
      <w:r>
        <w:rPr>
          <w:rFonts w:ascii="Arial" w:hAnsi="Arial" w:cs="Arial"/>
          <w:color w:val="000000"/>
          <w:kern w:val="0"/>
          <w:sz w:val="20"/>
          <w:szCs w:val="20"/>
        </w:rPr>
        <w:t>每</w:t>
      </w:r>
      <w:r>
        <w:rPr>
          <w:rFonts w:hint="eastAsia" w:ascii="Arial" w:hAnsi="Arial" w:cs="Arial"/>
          <w:color w:val="000000"/>
          <w:kern w:val="0"/>
          <w:sz w:val="20"/>
          <w:szCs w:val="20"/>
        </w:rPr>
        <w:t>家</w:t>
      </w:r>
      <w:r>
        <w:rPr>
          <w:rFonts w:ascii="Arial" w:hAnsi="Arial" w:cs="Arial"/>
          <w:color w:val="000000"/>
          <w:kern w:val="0"/>
          <w:sz w:val="20"/>
          <w:szCs w:val="20"/>
        </w:rPr>
        <w:t>公司在这个行业都面对</w:t>
      </w:r>
      <w:r>
        <w:rPr>
          <w:rFonts w:hint="eastAsia"/>
          <w:color w:val="FF0000"/>
          <w:sz w:val="20"/>
          <w:szCs w:val="20"/>
        </w:rPr>
        <w:t>老年群体</w:t>
      </w:r>
      <w:r>
        <w:rPr>
          <w:rFonts w:hint="eastAsia"/>
          <w:color w:val="000000"/>
          <w:sz w:val="20"/>
          <w:szCs w:val="20"/>
        </w:rPr>
        <w:t>,</w:t>
      </w:r>
      <w:r>
        <w:rPr>
          <w:rFonts w:hint="eastAsia"/>
          <w:color w:val="FF0000"/>
          <w:sz w:val="20"/>
          <w:szCs w:val="20"/>
        </w:rPr>
        <w:t>青少年群体</w:t>
      </w:r>
      <w:r>
        <w:rPr>
          <w:rFonts w:hint="eastAsia"/>
          <w:color w:val="000000"/>
          <w:sz w:val="20"/>
          <w:szCs w:val="20"/>
        </w:rPr>
        <w:t>,</w:t>
      </w:r>
      <w:r>
        <w:rPr>
          <w:rFonts w:hint="eastAsia"/>
          <w:color w:val="FF0000"/>
          <w:sz w:val="20"/>
          <w:szCs w:val="20"/>
        </w:rPr>
        <w:t>公司白领</w:t>
      </w:r>
      <w:r>
        <w:rPr>
          <w:rFonts w:hint="eastAsia"/>
          <w:color w:val="000000"/>
          <w:sz w:val="20"/>
          <w:szCs w:val="20"/>
        </w:rPr>
        <w:t>,</w:t>
      </w:r>
      <w:r>
        <w:rPr>
          <w:rFonts w:hint="eastAsia"/>
          <w:color w:val="FF0000"/>
          <w:sz w:val="20"/>
          <w:szCs w:val="20"/>
        </w:rPr>
        <w:t>商务人士</w:t>
      </w:r>
      <w:r>
        <w:rPr>
          <w:rFonts w:hint="eastAsia" w:ascii="Arial" w:hAnsi="Arial" w:cs="Arial"/>
          <w:color w:val="000000"/>
          <w:kern w:val="0"/>
          <w:sz w:val="20"/>
          <w:szCs w:val="20"/>
        </w:rPr>
        <w:t>四类</w:t>
      </w:r>
      <w:r>
        <w:rPr>
          <w:rFonts w:ascii="Arial" w:hAnsi="Arial" w:cs="Arial"/>
          <w:color w:val="000000"/>
          <w:kern w:val="0"/>
          <w:sz w:val="20"/>
          <w:szCs w:val="20"/>
        </w:rPr>
        <w:t>需求各异的消费群体：</w:t>
      </w:r>
    </w:p>
    <w:p>
      <w:pPr>
        <w:jc w:val="center"/>
        <w:rPr>
          <w:rFonts w:ascii="Arial" w:hAnsi="Arial" w:cs="Arial"/>
          <w:color w:val="000000"/>
          <w:kern w:val="0"/>
          <w:sz w:val="20"/>
          <w:szCs w:val="20"/>
        </w:rPr>
      </w:pPr>
      <w:r>
        <w:drawing>
          <wp:inline distT="0" distB="0" distL="0" distR="0">
            <wp:extent cx="4820920" cy="385000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821073" cy="3850597"/>
                    </a:xfrm>
                    <a:prstGeom prst="rect">
                      <a:avLst/>
                    </a:prstGeom>
                  </pic:spPr>
                </pic:pic>
              </a:graphicData>
            </a:graphic>
          </wp:inline>
        </w:drawing>
      </w:r>
    </w:p>
    <w:p>
      <w:pPr>
        <w:jc w:val="center"/>
      </w:pPr>
      <w:r>
        <w:drawing>
          <wp:inline distT="0" distB="0" distL="0" distR="0">
            <wp:extent cx="4835525" cy="3703320"/>
            <wp:effectExtent l="19050" t="0" r="3134"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830691" cy="3699586"/>
                    </a:xfrm>
                    <a:prstGeom prst="rect">
                      <a:avLst/>
                    </a:prstGeom>
                  </pic:spPr>
                </pic:pic>
              </a:graphicData>
            </a:graphic>
          </wp:inline>
        </w:drawing>
      </w:r>
    </w:p>
    <w:p>
      <w:pPr>
        <w:pStyle w:val="24"/>
        <w:ind w:firstLine="0" w:firstLineChars="0"/>
        <w:jc w:val="center"/>
      </w:pPr>
    </w:p>
    <w:p>
      <w:pPr>
        <w:rPr>
          <w:rFonts w:ascii="宋体" w:hAnsi="宋体"/>
          <w:color w:val="000000"/>
        </w:rPr>
      </w:pPr>
      <w:r>
        <w:rPr>
          <w:rFonts w:ascii="宋体" w:hAnsi="宋体"/>
          <w:color w:val="000000"/>
        </w:rPr>
        <w:t>不同消费群体对产品的关注与侧重点是有差异的，消费者从5个不同角度挑选评价产品：</w:t>
      </w:r>
    </w:p>
    <w:p>
      <w:pPr>
        <w:rPr>
          <w:rFonts w:ascii="宋体" w:hAnsi="宋体"/>
          <w:color w:val="000000"/>
        </w:rPr>
      </w:pPr>
    </w:p>
    <w:tbl>
      <w:tblPr>
        <w:tblStyle w:val="1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4"/>
        <w:gridCol w:w="7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84" w:type="dxa"/>
          </w:tcPr>
          <w:p>
            <w:pPr>
              <w:widowControl/>
              <w:jc w:val="center"/>
              <w:rPr>
                <w:rFonts w:ascii="Arial" w:hAnsi="Arial" w:cs="Arial"/>
                <w:color w:val="000000"/>
                <w:kern w:val="0"/>
                <w:sz w:val="20"/>
                <w:szCs w:val="20"/>
              </w:rPr>
            </w:pPr>
            <w:r>
              <w:rPr>
                <w:rFonts w:ascii="Arial" w:hAnsi="Arial" w:cs="Arial"/>
                <w:color w:val="000000"/>
                <w:kern w:val="0"/>
                <w:sz w:val="20"/>
                <w:szCs w:val="20"/>
              </w:rPr>
              <w:t>产品价格：</w:t>
            </w:r>
          </w:p>
        </w:tc>
        <w:tc>
          <w:tcPr>
            <w:tcW w:w="7288" w:type="dxa"/>
          </w:tcPr>
          <w:p>
            <w:pPr>
              <w:widowControl/>
              <w:jc w:val="center"/>
              <w:rPr>
                <w:rFonts w:ascii="Arial" w:hAnsi="Arial" w:cs="Arial"/>
                <w:color w:val="000000"/>
                <w:kern w:val="0"/>
                <w:sz w:val="20"/>
                <w:szCs w:val="20"/>
              </w:rPr>
            </w:pPr>
            <w:r>
              <w:rPr>
                <w:rFonts w:ascii="Arial" w:hAnsi="Arial" w:cs="Arial"/>
                <w:color w:val="000000"/>
                <w:kern w:val="0"/>
                <w:sz w:val="20"/>
                <w:szCs w:val="20"/>
              </w:rPr>
              <w:t>产品价格是指公司销售产品时所报价格，与竞争对手相比，价格越低越能获得消费者的认可。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84" w:type="dxa"/>
          </w:tcPr>
          <w:p>
            <w:pPr>
              <w:widowControl/>
              <w:jc w:val="center"/>
              <w:rPr>
                <w:rFonts w:ascii="Arial" w:hAnsi="Arial" w:cs="Arial"/>
                <w:color w:val="000000"/>
                <w:kern w:val="0"/>
                <w:sz w:val="20"/>
                <w:szCs w:val="20"/>
              </w:rPr>
            </w:pPr>
            <w:r>
              <w:rPr>
                <w:rFonts w:ascii="Arial" w:hAnsi="Arial" w:cs="Arial"/>
                <w:color w:val="000000"/>
                <w:kern w:val="0"/>
                <w:sz w:val="20"/>
                <w:szCs w:val="20"/>
              </w:rPr>
              <w:t>产品功能：</w:t>
            </w:r>
          </w:p>
        </w:tc>
        <w:tc>
          <w:tcPr>
            <w:tcW w:w="7288" w:type="dxa"/>
          </w:tcPr>
          <w:p>
            <w:pPr>
              <w:widowControl/>
              <w:jc w:val="center"/>
              <w:rPr>
                <w:rFonts w:ascii="Arial" w:hAnsi="Arial" w:cs="Arial"/>
                <w:color w:val="000000"/>
                <w:kern w:val="0"/>
                <w:sz w:val="20"/>
                <w:szCs w:val="20"/>
              </w:rPr>
            </w:pPr>
            <w:r>
              <w:rPr>
                <w:rFonts w:ascii="Arial" w:hAnsi="Arial" w:cs="Arial"/>
                <w:color w:val="000000"/>
                <w:kern w:val="0"/>
                <w:sz w:val="20"/>
                <w:szCs w:val="20"/>
              </w:rPr>
              <w:t>产品功能主要指每个公司设计新产品时选定的功能配置表（BOM表），与竞争对手相比，产品的功能越符合消费者的功能诉求就越能得到消费者的认可。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84" w:type="dxa"/>
          </w:tcPr>
          <w:p>
            <w:pPr>
              <w:widowControl/>
              <w:jc w:val="center"/>
              <w:rPr>
                <w:rFonts w:ascii="Arial" w:hAnsi="Arial" w:cs="Arial"/>
                <w:color w:val="000000"/>
                <w:kern w:val="0"/>
                <w:sz w:val="20"/>
                <w:szCs w:val="20"/>
              </w:rPr>
            </w:pPr>
            <w:r>
              <w:rPr>
                <w:rFonts w:ascii="Arial" w:hAnsi="Arial" w:cs="Arial"/>
                <w:color w:val="000000"/>
                <w:kern w:val="0"/>
                <w:sz w:val="20"/>
                <w:szCs w:val="20"/>
              </w:rPr>
              <w:t>产品品牌：</w:t>
            </w:r>
          </w:p>
        </w:tc>
        <w:tc>
          <w:tcPr>
            <w:tcW w:w="7288" w:type="dxa"/>
          </w:tcPr>
          <w:p>
            <w:pPr>
              <w:widowControl/>
              <w:jc w:val="center"/>
              <w:rPr>
                <w:rFonts w:ascii="Arial" w:hAnsi="Arial" w:cs="Arial"/>
                <w:color w:val="000000"/>
                <w:kern w:val="0"/>
                <w:sz w:val="20"/>
                <w:szCs w:val="20"/>
              </w:rPr>
            </w:pPr>
            <w:r>
              <w:rPr>
                <w:rFonts w:ascii="Arial" w:hAnsi="Arial" w:cs="Arial"/>
                <w:color w:val="000000"/>
                <w:kern w:val="0"/>
                <w:sz w:val="20"/>
                <w:szCs w:val="20"/>
              </w:rPr>
              <w:t>产品品牌由公司市场部门在产品上所投入的累计宣传广告多少决定，与竞争对手相比，累计投入广告越多，产品品牌知名度就越高，越能获得消费者认可。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84" w:type="dxa"/>
          </w:tcPr>
          <w:p>
            <w:pPr>
              <w:widowControl/>
              <w:jc w:val="center"/>
              <w:rPr>
                <w:rFonts w:ascii="Arial" w:hAnsi="Arial" w:cs="Arial"/>
                <w:color w:val="000000"/>
                <w:kern w:val="0"/>
                <w:sz w:val="20"/>
                <w:szCs w:val="20"/>
              </w:rPr>
            </w:pPr>
            <w:r>
              <w:rPr>
                <w:rFonts w:ascii="Arial" w:hAnsi="Arial" w:cs="Arial"/>
                <w:color w:val="000000"/>
                <w:kern w:val="0"/>
                <w:sz w:val="20"/>
                <w:szCs w:val="20"/>
              </w:rPr>
              <w:t>产品口碑：</w:t>
            </w:r>
          </w:p>
        </w:tc>
        <w:tc>
          <w:tcPr>
            <w:tcW w:w="7288" w:type="dxa"/>
          </w:tcPr>
          <w:p>
            <w:pPr>
              <w:widowControl/>
              <w:jc w:val="center"/>
              <w:rPr>
                <w:rFonts w:ascii="Arial" w:hAnsi="Arial" w:cs="Arial"/>
                <w:color w:val="000000"/>
                <w:kern w:val="0"/>
                <w:sz w:val="20"/>
                <w:szCs w:val="20"/>
              </w:rPr>
            </w:pPr>
            <w:r>
              <w:rPr>
                <w:rFonts w:ascii="Arial" w:hAnsi="Arial" w:cs="Arial"/>
                <w:color w:val="000000"/>
                <w:kern w:val="0"/>
                <w:sz w:val="20"/>
                <w:szCs w:val="20"/>
              </w:rPr>
              <w:t>产品口碑是指该产品的历史销售情况，与竞争对手相比，产品累计销售的数量、产品订单交付完成率越高消费者对产品的认可就越高。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84" w:type="dxa"/>
          </w:tcPr>
          <w:p>
            <w:pPr>
              <w:widowControl/>
              <w:jc w:val="center"/>
              <w:rPr>
                <w:rFonts w:ascii="Arial" w:hAnsi="Arial" w:cs="Arial"/>
                <w:color w:val="000000"/>
                <w:kern w:val="0"/>
                <w:sz w:val="20"/>
                <w:szCs w:val="20"/>
              </w:rPr>
            </w:pPr>
            <w:r>
              <w:rPr>
                <w:rFonts w:ascii="Arial" w:hAnsi="Arial" w:cs="Arial"/>
                <w:color w:val="000000"/>
                <w:kern w:val="0"/>
                <w:sz w:val="20"/>
                <w:szCs w:val="20"/>
              </w:rPr>
              <w:t>产品销售：</w:t>
            </w:r>
          </w:p>
        </w:tc>
        <w:tc>
          <w:tcPr>
            <w:tcW w:w="7288" w:type="dxa"/>
          </w:tcPr>
          <w:p>
            <w:pPr>
              <w:widowControl/>
              <w:jc w:val="center"/>
              <w:rPr>
                <w:rFonts w:ascii="Arial" w:hAnsi="Arial" w:cs="Arial"/>
                <w:color w:val="000000"/>
                <w:kern w:val="0"/>
                <w:sz w:val="20"/>
                <w:szCs w:val="20"/>
              </w:rPr>
            </w:pPr>
            <w:r>
              <w:rPr>
                <w:rFonts w:ascii="Arial" w:hAnsi="Arial" w:cs="Arial"/>
                <w:color w:val="000000"/>
                <w:kern w:val="0"/>
                <w:sz w:val="20"/>
                <w:szCs w:val="20"/>
              </w:rPr>
              <w:t>产品销售是指公司当前销售产品所具备的总销售能力，与竞争对手相比，总销售能力越高，获得消费者认可也越高。</w:t>
            </w:r>
          </w:p>
        </w:tc>
      </w:tr>
    </w:tbl>
    <w:p>
      <w:pPr>
        <w:rPr>
          <w:rFonts w:ascii="宋体" w:hAnsi="宋体"/>
          <w:color w:val="000000"/>
        </w:rPr>
      </w:pPr>
    </w:p>
    <w:p>
      <w:pPr>
        <w:rPr>
          <w:rFonts w:ascii="宋体" w:hAnsi="宋体"/>
          <w:color w:val="000000"/>
        </w:rPr>
      </w:pPr>
      <w:r>
        <w:rPr>
          <w:rFonts w:ascii="宋体" w:hAnsi="宋体"/>
          <w:color w:val="000000"/>
        </w:rPr>
        <w:t xml:space="preserve">以上5方面对于不同类型的消费群体,其关注的侧重度是不同的,一般侧重度越大的说明消费者越关注,对消费者是否购买该产品的影响也越大。 </w:t>
      </w:r>
    </w:p>
    <w:p>
      <w:pPr>
        <w:numPr>
          <w:ilvl w:val="0"/>
          <w:numId w:val="2"/>
        </w:numPr>
        <w:autoSpaceDN w:val="0"/>
        <w:spacing w:beforeAutospacing="1" w:afterAutospacing="1"/>
        <w:rPr>
          <w:rFonts w:ascii="宋体" w:hAnsi="宋体"/>
          <w:color w:val="000000"/>
          <w:sz w:val="20"/>
        </w:rPr>
      </w:pPr>
      <w:r>
        <w:rPr>
          <w:rFonts w:ascii="宋体" w:hAnsi="宋体"/>
          <w:b/>
          <w:color w:val="000000"/>
          <w:sz w:val="20"/>
        </w:rPr>
        <w:t>消费者产品选择原则</w:t>
      </w:r>
    </w:p>
    <w:p>
      <w:pPr>
        <w:rPr>
          <w:rFonts w:ascii="宋体" w:hAnsi="宋体" w:cs="宋体"/>
          <w:color w:val="000000"/>
          <w:kern w:val="0"/>
          <w:szCs w:val="21"/>
        </w:rPr>
      </w:pPr>
      <w:r>
        <w:rPr>
          <w:rFonts w:ascii="宋体" w:hAnsi="宋体"/>
          <w:sz w:val="24"/>
        </w:rPr>
        <w:br w:type="textWrapping"/>
      </w:r>
      <w:r>
        <w:rPr>
          <w:rFonts w:ascii="宋体" w:hAnsi="宋体"/>
          <w:color w:val="000000"/>
        </w:rPr>
        <w:t xml:space="preserve">消费者选择产品将以每个参与公司的5项评价为依据，5项评分高的公司获得的市场需求就多，分值低的公司获得的需求就少。形象期间，以下是一个具体分配示例以供参考理解： </w:t>
      </w:r>
      <w:r>
        <w:rPr>
          <w:rFonts w:ascii="宋体" w:hAnsi="宋体"/>
          <w:color w:val="000000"/>
        </w:rPr>
        <w:br w:type="textWrapping"/>
      </w:r>
      <w:r>
        <w:rPr>
          <w:rFonts w:ascii="宋体" w:hAnsi="宋体"/>
          <w:color w:val="000000"/>
        </w:rPr>
        <w:t>总共1000订单需求</w:t>
      </w:r>
      <w:r>
        <w:rPr>
          <w:rFonts w:hint="eastAsia" w:ascii="宋体" w:hAnsi="宋体"/>
          <w:color w:val="000000"/>
        </w:rPr>
        <w:t>，</w:t>
      </w:r>
      <w:r>
        <w:rPr>
          <w:rFonts w:ascii="宋体" w:hAnsi="宋体"/>
          <w:color w:val="000000"/>
        </w:rPr>
        <w:t>A,B,C三个公司竞争，A公司设100上限，B公司设300上限，C公司没有设置上限</w:t>
      </w:r>
      <w:r>
        <w:rPr>
          <w:rFonts w:hint="eastAsia" w:ascii="宋体" w:hAnsi="宋体"/>
          <w:color w:val="000000"/>
        </w:rPr>
        <w:t>，</w:t>
      </w:r>
      <w:r>
        <w:rPr>
          <w:rFonts w:ascii="宋体" w:hAnsi="宋体"/>
          <w:color w:val="000000"/>
        </w:rPr>
        <w:t xml:space="preserve">在第一轮分配中，根据5项分值，A公司应该可以拿到150，B公司应该可以拿到450，C公司应该可以拿到400，合计正好是全部需求1000 </w:t>
      </w:r>
      <w:r>
        <w:rPr>
          <w:rFonts w:ascii="宋体" w:hAnsi="宋体"/>
          <w:color w:val="000000"/>
        </w:rPr>
        <w:br w:type="textWrapping"/>
      </w:r>
      <w:r>
        <w:rPr>
          <w:rFonts w:ascii="宋体" w:hAnsi="宋体"/>
          <w:color w:val="000000"/>
        </w:rPr>
        <w:t>但由于A公司设置了100的上限，所以最终实际拿到100，B公司设置了300的上限，所以最终实际拿到300，C公司没有设置上限，所以实际拿到400，合计800的需求在第一轮分配中已经被消耗</w:t>
      </w:r>
      <w:r>
        <w:rPr>
          <w:rFonts w:hint="eastAsia" w:ascii="宋体" w:hAnsi="宋体"/>
          <w:color w:val="000000"/>
        </w:rPr>
        <w:t>，</w:t>
      </w:r>
      <w:r>
        <w:rPr>
          <w:rFonts w:ascii="宋体" w:hAnsi="宋体"/>
          <w:color w:val="000000"/>
        </w:rPr>
        <w:t>对于A,B两家设置了上限的公司，分别有150－100＝50，450－300＝150的需求没有在第一轮竞争中得到满足，所以50＋150＝200的未满足需求</w:t>
      </w:r>
      <w:r>
        <w:rPr>
          <w:rFonts w:hint="eastAsia" w:ascii="宋体" w:hAnsi="宋体" w:cs="宋体"/>
          <w:color w:val="000000"/>
          <w:kern w:val="0"/>
          <w:szCs w:val="21"/>
        </w:rPr>
        <w:t>将继续参与二次选择</w:t>
      </w:r>
    </w:p>
    <w:p>
      <w:pPr>
        <w:rPr>
          <w:szCs w:val="21"/>
        </w:rPr>
      </w:pPr>
      <w:r>
        <w:rPr>
          <w:rFonts w:hint="eastAsia" w:ascii="宋体" w:hAnsi="宋体" w:cs="宋体"/>
          <w:color w:val="000000"/>
          <w:kern w:val="0"/>
          <w:szCs w:val="21"/>
        </w:rPr>
        <w:t xml:space="preserve">二次分配中，A，B公司由于已经达到上限，将不再参与竞争，只剩下C公司竞争，还是根据5个竞争因素，C公司应该可以拿到200，C公司没有设置上限，实际拿到200累计达到600 ，这样A,B,C最终实际的量就是100，300，600.总共1000的需求全部得到满足，没有多余需求将累计到下季度，如果前面C公司也设置了上限，那就可能出现最终部分需求无法得到满足，这部分需求将累计到下季度 </w:t>
      </w:r>
      <w:r>
        <w:rPr>
          <w:rFonts w:hint="eastAsia" w:ascii="宋体" w:hAnsi="宋体" w:cs="宋体"/>
          <w:color w:val="000000"/>
          <w:kern w:val="0"/>
          <w:szCs w:val="21"/>
        </w:rPr>
        <w:br w:type="textWrapping"/>
      </w:r>
      <w:r>
        <w:rPr>
          <w:rFonts w:hint="eastAsia" w:ascii="宋体" w:hAnsi="宋体" w:cs="宋体"/>
          <w:color w:val="000000"/>
          <w:kern w:val="0"/>
          <w:szCs w:val="21"/>
        </w:rPr>
        <w:t>另外如果A,B,C公司中本期如果有违约未能交付的需求，也将一并累积到下季度</w:t>
      </w:r>
    </w:p>
    <w:p>
      <w:pPr>
        <w:rPr>
          <w:rFonts w:ascii="宋体" w:hAnsi="宋体"/>
          <w:sz w:val="24"/>
        </w:rPr>
      </w:pPr>
    </w:p>
    <w:p>
      <w:pPr>
        <w:numPr>
          <w:ilvl w:val="0"/>
          <w:numId w:val="2"/>
        </w:numPr>
        <w:autoSpaceDN w:val="0"/>
        <w:spacing w:beforeAutospacing="1" w:afterAutospacing="1"/>
        <w:rPr>
          <w:rFonts w:ascii="宋体" w:hAnsi="宋体"/>
          <w:color w:val="000000"/>
          <w:sz w:val="20"/>
        </w:rPr>
      </w:pPr>
      <w:r>
        <w:rPr>
          <w:rFonts w:ascii="宋体" w:hAnsi="宋体"/>
          <w:b/>
          <w:color w:val="000000"/>
          <w:sz w:val="20"/>
        </w:rPr>
        <w:t>各市场区域消费群体最高预算支出分时走势</w:t>
      </w:r>
    </w:p>
    <w:p>
      <w:pPr>
        <w:ind w:firstLine="420"/>
        <w:jc w:val="left"/>
        <w:rPr>
          <w:rFonts w:ascii="宋体" w:hAnsi="宋体"/>
          <w:color w:val="000000"/>
        </w:rPr>
      </w:pPr>
      <w:r>
        <w:rPr>
          <w:rFonts w:ascii="宋体" w:hAnsi="宋体"/>
          <w:color w:val="000000"/>
        </w:rPr>
        <w:t>不同地区的消费群体在不同时间段具有不同的最大预算支出。消费者不能接受公司在销售报价过程中的报价超过他们的最大预算支出。</w:t>
      </w:r>
      <w:r>
        <w:rPr>
          <w:rFonts w:hint="eastAsia" w:ascii="宋体" w:hAnsi="宋体"/>
          <w:color w:val="000000"/>
        </w:rPr>
        <w:t>具体学生端从实验规则</w:t>
      </w:r>
      <w:r>
        <w:rPr>
          <w:rFonts w:hint="eastAsia" w:ascii="宋体" w:hAnsi="宋体"/>
          <w:color w:val="000000"/>
        </w:rPr>
        <w:drawing>
          <wp:inline distT="0" distB="0" distL="0" distR="0">
            <wp:extent cx="417195" cy="320040"/>
            <wp:effectExtent l="19050" t="0" r="1474"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9" cstate="print"/>
                    <a:srcRect/>
                    <a:stretch>
                      <a:fillRect/>
                    </a:stretch>
                  </pic:blipFill>
                  <pic:spPr>
                    <a:xfrm>
                      <a:off x="0" y="0"/>
                      <a:ext cx="422292" cy="323616"/>
                    </a:xfrm>
                    <a:prstGeom prst="rect">
                      <a:avLst/>
                    </a:prstGeom>
                    <a:noFill/>
                    <a:ln w="9525">
                      <a:noFill/>
                      <a:miter lim="800000"/>
                      <a:headEnd/>
                      <a:tailEnd/>
                    </a:ln>
                  </pic:spPr>
                </pic:pic>
              </a:graphicData>
            </a:graphic>
          </wp:inline>
        </w:drawing>
      </w:r>
      <w:r>
        <w:rPr>
          <w:rFonts w:hint="eastAsia" w:ascii="宋体" w:hAnsi="宋体"/>
          <w:color w:val="000000"/>
        </w:rPr>
        <w:t>里面查看。</w:t>
      </w:r>
    </w:p>
    <w:p>
      <w:pPr>
        <w:pStyle w:val="2"/>
        <w:numPr>
          <w:ilvl w:val="0"/>
          <w:numId w:val="1"/>
        </w:numPr>
        <w:rPr>
          <w:rStyle w:val="16"/>
          <w:b w:val="0"/>
          <w:bCs w:val="0"/>
          <w:sz w:val="32"/>
          <w:szCs w:val="32"/>
        </w:rPr>
      </w:pPr>
      <w:bookmarkStart w:id="3" w:name="_Toc380594057"/>
      <w:r>
        <w:rPr>
          <w:rStyle w:val="16"/>
          <w:rFonts w:hint="eastAsia"/>
          <w:b w:val="0"/>
          <w:bCs w:val="0"/>
          <w:sz w:val="32"/>
          <w:szCs w:val="32"/>
        </w:rPr>
        <w:t>设计研发</w:t>
      </w:r>
      <w:bookmarkEnd w:id="3"/>
    </w:p>
    <w:p>
      <w:pPr>
        <w:numPr>
          <w:ilvl w:val="0"/>
          <w:numId w:val="3"/>
        </w:numPr>
        <w:autoSpaceDN w:val="0"/>
        <w:spacing w:beforeAutospacing="1" w:afterAutospacing="1"/>
        <w:rPr>
          <w:rFonts w:ascii="宋体" w:hAnsi="宋体"/>
          <w:color w:val="000000"/>
        </w:rPr>
      </w:pPr>
      <w:r>
        <w:rPr>
          <w:rFonts w:ascii="宋体" w:hAnsi="宋体"/>
          <w:color w:val="000000"/>
        </w:rPr>
        <w:t>产品设计</w:t>
      </w:r>
    </w:p>
    <w:p>
      <w:pPr>
        <w:rPr>
          <w:rFonts w:ascii="宋体" w:hAnsi="宋体"/>
          <w:color w:val="000000"/>
          <w:sz w:val="20"/>
          <w:shd w:val="clear" w:color="auto" w:fill="FFFFFF"/>
        </w:rPr>
      </w:pPr>
      <w:r>
        <w:rPr>
          <w:rFonts w:ascii="宋体" w:hAnsi="宋体"/>
          <w:color w:val="000000"/>
        </w:rPr>
        <w:t xml:space="preserve">  不同消费群体具有不同的产品功能诉求，为了产品获得更多的青睐，每个公司需要根据这些功能诉求设计新产品。同时产品设计也将决定新产品的直接原料成本高低，另外也将决定新产品在具体研发过程中的研发难度。一般来说，产品功能越多，BOM表越复杂，直接原料成本就越高。 </w:t>
      </w:r>
      <w:r>
        <w:rPr>
          <w:rFonts w:ascii="宋体" w:hAnsi="宋体"/>
          <w:color w:val="000000"/>
        </w:rPr>
        <w:br w:type="textWrapping"/>
      </w:r>
      <w:r>
        <w:rPr>
          <w:rFonts w:ascii="宋体" w:hAnsi="宋体"/>
          <w:color w:val="000000"/>
        </w:rPr>
        <w:t xml:space="preserve">  对于已经开始研发或研发完成的产品，其设计是不可更改的，每完成一个新产品设计需立即支付30,000.00元设计费用， 每个公司在经营期间最多可以累计设计</w:t>
      </w:r>
      <w:r>
        <w:rPr>
          <w:rFonts w:hint="eastAsia" w:ascii="宋体" w:hAnsi="宋体"/>
          <w:color w:val="000000"/>
        </w:rPr>
        <w:t>8</w:t>
      </w:r>
      <w:r>
        <w:rPr>
          <w:rFonts w:ascii="宋体" w:hAnsi="宋体"/>
          <w:color w:val="000000"/>
        </w:rPr>
        <w:t xml:space="preserve">个产品。我们可以在公司的研发部完成新产品的设计。 </w:t>
      </w:r>
    </w:p>
    <w:p>
      <w:pPr>
        <w:numPr>
          <w:ilvl w:val="0"/>
          <w:numId w:val="3"/>
        </w:numPr>
        <w:autoSpaceDN w:val="0"/>
        <w:spacing w:beforeAutospacing="1" w:afterAutospacing="1"/>
        <w:rPr>
          <w:rFonts w:ascii="宋体" w:hAnsi="宋体"/>
          <w:color w:val="000000"/>
        </w:rPr>
      </w:pPr>
      <w:r>
        <w:rPr>
          <w:rFonts w:ascii="宋体" w:hAnsi="宋体"/>
          <w:color w:val="000000"/>
        </w:rPr>
        <w:t>产品研发</w:t>
      </w:r>
    </w:p>
    <w:p>
      <w:pPr>
        <w:autoSpaceDN w:val="0"/>
        <w:spacing w:beforeAutospacing="1" w:afterAutospacing="1"/>
        <w:ind w:firstLine="210" w:firstLineChars="100"/>
        <w:rPr>
          <w:rFonts w:ascii="宋体" w:hAnsi="宋体"/>
          <w:color w:val="000000"/>
        </w:rPr>
      </w:pPr>
      <w:r>
        <w:rPr>
          <w:rFonts w:ascii="宋体" w:hAnsi="宋体"/>
          <w:color w:val="000000"/>
        </w:rPr>
        <w:t xml:space="preserve">对于完成设计的新产品，产品研发的职责主要是对其开展攻关、开发、测试等各项工作，每个完成设计的产品每期的研发费用是20,000.00元，不同的产品由于设计差异导致产品研发所需的时间周期并不相同，所以所需的总研发费用也将不同。我们可以在公司的研发部完成新产品的研发。 </w:t>
      </w:r>
    </w:p>
    <w:p>
      <w:pPr>
        <w:pStyle w:val="2"/>
        <w:numPr>
          <w:ilvl w:val="0"/>
          <w:numId w:val="1"/>
        </w:numPr>
        <w:rPr>
          <w:rStyle w:val="16"/>
          <w:b w:val="0"/>
          <w:bCs w:val="0"/>
          <w:sz w:val="32"/>
          <w:szCs w:val="32"/>
        </w:rPr>
      </w:pPr>
      <w:bookmarkStart w:id="4" w:name="_Toc380594058"/>
      <w:r>
        <w:rPr>
          <w:rStyle w:val="16"/>
          <w:rFonts w:hint="eastAsia"/>
          <w:b w:val="0"/>
          <w:bCs w:val="0"/>
          <w:sz w:val="32"/>
          <w:szCs w:val="32"/>
        </w:rPr>
        <w:t>生产制造</w:t>
      </w:r>
      <w:bookmarkEnd w:id="4"/>
    </w:p>
    <w:p>
      <w:pPr>
        <w:rPr>
          <w:rFonts w:ascii="宋体" w:hAnsi="宋体"/>
          <w:color w:val="000000"/>
          <w:szCs w:val="21"/>
        </w:rPr>
      </w:pPr>
      <w:r>
        <w:rPr>
          <w:rFonts w:ascii="宋体" w:hAnsi="宋体"/>
          <w:color w:val="000000"/>
          <w:szCs w:val="21"/>
        </w:rPr>
        <w:t>生产制造过程由以下几部分组成：</w:t>
      </w:r>
      <w:r>
        <w:rPr>
          <w:rFonts w:ascii="宋体" w:hAnsi="宋体"/>
          <w:color w:val="000000"/>
          <w:szCs w:val="21"/>
        </w:rPr>
        <w:br w:type="textWrapping"/>
      </w:r>
      <w:r>
        <w:rPr>
          <w:rFonts w:ascii="宋体" w:hAnsi="宋体"/>
          <w:color w:val="000000"/>
          <w:szCs w:val="21"/>
        </w:rPr>
        <w:t>1.厂房购置</w:t>
      </w:r>
      <w:r>
        <w:rPr>
          <w:rFonts w:ascii="宋体" w:hAnsi="宋体"/>
          <w:color w:val="000000"/>
          <w:szCs w:val="21"/>
        </w:rPr>
        <w:br w:type="textWrapping"/>
      </w:r>
      <w:r>
        <w:rPr>
          <w:rFonts w:ascii="宋体" w:hAnsi="宋体"/>
          <w:color w:val="000000"/>
          <w:szCs w:val="21"/>
        </w:rPr>
        <w:t xml:space="preserve">厂房可以选择租用或购买，对于租用的厂房，每期期初将自动支付相应的租金，对于购买的厂房，购买当时即支付相应的现金。 </w:t>
      </w:r>
      <w:r>
        <w:rPr>
          <w:rFonts w:ascii="宋体" w:hAnsi="宋体"/>
          <w:color w:val="000000"/>
          <w:szCs w:val="21"/>
        </w:rPr>
        <w:br w:type="textWrapping"/>
      </w:r>
      <w:r>
        <w:rPr>
          <w:rFonts w:ascii="宋体" w:hAnsi="宋体"/>
          <w:color w:val="000000"/>
          <w:szCs w:val="21"/>
        </w:rPr>
        <w:t xml:space="preserve">厂房可以选择退租或出售，厂房的退租或出售实际发生在每期期末，此时只有厂房内没有设备的情况下才能成功，退租后的厂房在下期将不再需要支付相应租金，出售厂房将以厂房净值回收现金。 </w:t>
      </w:r>
      <w:r>
        <w:rPr>
          <w:rFonts w:ascii="宋体" w:hAnsi="宋体"/>
          <w:color w:val="000000"/>
          <w:szCs w:val="21"/>
        </w:rPr>
        <w:br w:type="textWrapping"/>
      </w:r>
      <w:r>
        <w:rPr>
          <w:rFonts w:ascii="宋体" w:hAnsi="宋体"/>
          <w:color w:val="000000"/>
          <w:szCs w:val="21"/>
        </w:rPr>
        <w:t>以下是不同类型的厂房具体参数：</w:t>
      </w:r>
    </w:p>
    <w:tbl>
      <w:tblPr>
        <w:tblStyle w:val="10"/>
        <w:tblW w:w="78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3"/>
        <w:gridCol w:w="1973"/>
        <w:gridCol w:w="1973"/>
        <w:gridCol w:w="1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1973" w:type="dxa"/>
          </w:tcPr>
          <w:p>
            <w:pPr>
              <w:autoSpaceDE w:val="0"/>
              <w:autoSpaceDN w:val="0"/>
              <w:rPr>
                <w:rFonts w:ascii="宋体" w:hAnsi="宋体"/>
                <w:b/>
                <w:bCs/>
                <w:color w:val="000000"/>
              </w:rPr>
            </w:pPr>
            <w:r>
              <w:rPr>
                <w:rFonts w:hint="eastAsia" w:ascii="宋体" w:hAnsi="宋体"/>
                <w:b/>
                <w:bCs/>
                <w:color w:val="000000"/>
              </w:rPr>
              <w:t xml:space="preserve">厂房大小 </w:t>
            </w:r>
          </w:p>
        </w:tc>
        <w:tc>
          <w:tcPr>
            <w:tcW w:w="1973" w:type="dxa"/>
          </w:tcPr>
          <w:p>
            <w:pPr>
              <w:autoSpaceDE w:val="0"/>
              <w:autoSpaceDN w:val="0"/>
              <w:rPr>
                <w:rFonts w:ascii="宋体" w:hAnsi="宋体"/>
                <w:b/>
                <w:bCs/>
                <w:color w:val="000000"/>
              </w:rPr>
            </w:pPr>
            <w:r>
              <w:rPr>
                <w:rFonts w:hint="eastAsia" w:ascii="宋体" w:hAnsi="宋体"/>
                <w:b/>
                <w:bCs/>
                <w:color w:val="000000"/>
              </w:rPr>
              <w:t xml:space="preserve">大 </w:t>
            </w:r>
          </w:p>
        </w:tc>
        <w:tc>
          <w:tcPr>
            <w:tcW w:w="1973" w:type="dxa"/>
          </w:tcPr>
          <w:p>
            <w:pPr>
              <w:autoSpaceDE w:val="0"/>
              <w:autoSpaceDN w:val="0"/>
              <w:rPr>
                <w:rFonts w:ascii="宋体" w:hAnsi="宋体"/>
                <w:b/>
                <w:bCs/>
                <w:color w:val="000000"/>
              </w:rPr>
            </w:pPr>
            <w:r>
              <w:rPr>
                <w:rFonts w:hint="eastAsia" w:ascii="宋体" w:hAnsi="宋体"/>
                <w:b/>
                <w:bCs/>
                <w:color w:val="000000"/>
              </w:rPr>
              <w:t xml:space="preserve">中 </w:t>
            </w:r>
          </w:p>
        </w:tc>
        <w:tc>
          <w:tcPr>
            <w:tcW w:w="1973" w:type="dxa"/>
          </w:tcPr>
          <w:p>
            <w:pPr>
              <w:autoSpaceDE w:val="0"/>
              <w:autoSpaceDN w:val="0"/>
              <w:rPr>
                <w:rFonts w:ascii="宋体" w:hAnsi="宋体"/>
                <w:b/>
                <w:bCs/>
                <w:color w:val="000000"/>
              </w:rPr>
            </w:pPr>
            <w:r>
              <w:rPr>
                <w:rFonts w:hint="eastAsia" w:ascii="宋体" w:hAnsi="宋体"/>
                <w:b/>
                <w:bCs/>
                <w:color w:val="000000"/>
              </w:rPr>
              <w:t xml:space="preserve">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973" w:type="dxa"/>
          </w:tcPr>
          <w:p>
            <w:pPr>
              <w:autoSpaceDE w:val="0"/>
              <w:autoSpaceDN w:val="0"/>
              <w:rPr>
                <w:rFonts w:ascii="宋体" w:hAnsi="宋体"/>
                <w:b/>
                <w:bCs/>
                <w:color w:val="000000"/>
              </w:rPr>
            </w:pPr>
            <w:r>
              <w:rPr>
                <w:rFonts w:hint="eastAsia" w:ascii="宋体" w:hAnsi="宋体"/>
                <w:b/>
                <w:bCs/>
                <w:color w:val="000000"/>
              </w:rPr>
              <w:t xml:space="preserve">容纳设备 </w:t>
            </w:r>
          </w:p>
        </w:tc>
        <w:tc>
          <w:tcPr>
            <w:tcW w:w="1973" w:type="dxa"/>
          </w:tcPr>
          <w:p>
            <w:pPr>
              <w:autoSpaceDE w:val="0"/>
              <w:autoSpaceDN w:val="0"/>
              <w:rPr>
                <w:rFonts w:ascii="Arial" w:hAnsi="Arial" w:eastAsia="Arial"/>
                <w:color w:val="000000"/>
              </w:rPr>
            </w:pPr>
            <w:r>
              <w:rPr>
                <w:rFonts w:hint="eastAsia" w:ascii="Arial" w:hAnsi="Arial" w:eastAsia="Arial"/>
                <w:color w:val="000000"/>
              </w:rPr>
              <w:t xml:space="preserve">6 </w:t>
            </w:r>
          </w:p>
        </w:tc>
        <w:tc>
          <w:tcPr>
            <w:tcW w:w="1973" w:type="dxa"/>
          </w:tcPr>
          <w:p>
            <w:pPr>
              <w:autoSpaceDE w:val="0"/>
              <w:autoSpaceDN w:val="0"/>
              <w:rPr>
                <w:rFonts w:ascii="Arial" w:hAnsi="Arial" w:eastAsia="Arial"/>
                <w:color w:val="000000"/>
              </w:rPr>
            </w:pPr>
            <w:r>
              <w:rPr>
                <w:rFonts w:hint="eastAsia" w:ascii="Arial" w:hAnsi="Arial" w:eastAsia="Arial"/>
                <w:color w:val="000000"/>
              </w:rPr>
              <w:t xml:space="preserve">4 </w:t>
            </w:r>
          </w:p>
        </w:tc>
        <w:tc>
          <w:tcPr>
            <w:tcW w:w="1973" w:type="dxa"/>
          </w:tcPr>
          <w:p>
            <w:pPr>
              <w:autoSpaceDE w:val="0"/>
              <w:autoSpaceDN w:val="0"/>
              <w:rPr>
                <w:rFonts w:ascii="Arial" w:hAnsi="Arial" w:eastAsia="Arial"/>
                <w:color w:val="000000"/>
              </w:rPr>
            </w:pPr>
            <w:r>
              <w:rPr>
                <w:rFonts w:hint="eastAsia" w:ascii="Arial" w:hAnsi="Arial" w:eastAsia="Arial"/>
                <w:color w:val="000000"/>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973" w:type="dxa"/>
          </w:tcPr>
          <w:p>
            <w:pPr>
              <w:autoSpaceDE w:val="0"/>
              <w:autoSpaceDN w:val="0"/>
              <w:rPr>
                <w:rFonts w:ascii="Arial" w:hAnsi="Arial" w:eastAsia="Arial"/>
                <w:b/>
                <w:bCs/>
                <w:color w:val="000000"/>
              </w:rPr>
            </w:pPr>
            <w:r>
              <w:rPr>
                <w:rFonts w:hint="eastAsia" w:ascii="宋体" w:hAnsi="宋体"/>
                <w:b/>
                <w:bCs/>
                <w:color w:val="000000"/>
              </w:rPr>
              <w:t>购买价格</w:t>
            </w:r>
            <w:r>
              <w:rPr>
                <w:rFonts w:hint="eastAsia" w:ascii="Arial" w:hAnsi="Arial" w:eastAsia="Arial"/>
                <w:b/>
                <w:bCs/>
                <w:color w:val="000000"/>
              </w:rPr>
              <w:t>(</w:t>
            </w:r>
            <w:r>
              <w:rPr>
                <w:rFonts w:hint="eastAsia" w:ascii="宋体" w:hAnsi="宋体"/>
                <w:b/>
                <w:bCs/>
                <w:color w:val="000000"/>
              </w:rPr>
              <w:t>元</w:t>
            </w:r>
            <w:r>
              <w:rPr>
                <w:rFonts w:hint="eastAsia" w:ascii="Arial" w:hAnsi="Arial" w:eastAsia="Arial"/>
                <w:b/>
                <w:bCs/>
                <w:color w:val="000000"/>
              </w:rPr>
              <w:t xml:space="preserve">) </w:t>
            </w:r>
          </w:p>
        </w:tc>
        <w:tc>
          <w:tcPr>
            <w:tcW w:w="1973" w:type="dxa"/>
          </w:tcPr>
          <w:p>
            <w:pPr>
              <w:autoSpaceDE w:val="0"/>
              <w:autoSpaceDN w:val="0"/>
              <w:rPr>
                <w:rFonts w:ascii="Arial" w:hAnsi="Arial" w:eastAsia="Arial"/>
                <w:color w:val="000000"/>
              </w:rPr>
            </w:pPr>
            <w:r>
              <w:rPr>
                <w:rFonts w:hint="eastAsia" w:ascii="Arial" w:hAnsi="Arial" w:eastAsia="Arial"/>
                <w:color w:val="000000"/>
              </w:rPr>
              <w:t>1</w:t>
            </w:r>
            <w:r>
              <w:rPr>
                <w:rFonts w:ascii="Arial" w:hAnsi="Arial" w:eastAsia="Arial"/>
                <w:color w:val="000000"/>
              </w:rPr>
              <w:t>2</w:t>
            </w:r>
            <w:r>
              <w:rPr>
                <w:rFonts w:hint="eastAsia" w:ascii="Arial" w:hAnsi="Arial" w:eastAsia="Arial"/>
                <w:color w:val="000000"/>
              </w:rPr>
              <w:t xml:space="preserve">0,000.00 </w:t>
            </w:r>
          </w:p>
        </w:tc>
        <w:tc>
          <w:tcPr>
            <w:tcW w:w="1973" w:type="dxa"/>
          </w:tcPr>
          <w:p>
            <w:pPr>
              <w:autoSpaceDE w:val="0"/>
              <w:autoSpaceDN w:val="0"/>
              <w:rPr>
                <w:rFonts w:ascii="Arial" w:hAnsi="Arial" w:eastAsia="Arial"/>
                <w:color w:val="000000"/>
              </w:rPr>
            </w:pPr>
            <w:r>
              <w:rPr>
                <w:rFonts w:hint="eastAsia" w:ascii="Arial" w:hAnsi="Arial"/>
                <w:color w:val="000000"/>
              </w:rPr>
              <w:t>80</w:t>
            </w:r>
            <w:r>
              <w:rPr>
                <w:rFonts w:hint="eastAsia" w:ascii="Arial" w:hAnsi="Arial" w:eastAsia="Arial"/>
                <w:color w:val="000000"/>
              </w:rPr>
              <w:t xml:space="preserve">,000.00 </w:t>
            </w:r>
          </w:p>
        </w:tc>
        <w:tc>
          <w:tcPr>
            <w:tcW w:w="1973" w:type="dxa"/>
          </w:tcPr>
          <w:p>
            <w:pPr>
              <w:autoSpaceDE w:val="0"/>
              <w:autoSpaceDN w:val="0"/>
              <w:rPr>
                <w:rFonts w:ascii="Arial" w:hAnsi="Arial" w:eastAsia="Arial"/>
                <w:color w:val="000000"/>
              </w:rPr>
            </w:pPr>
            <w:r>
              <w:rPr>
                <w:rFonts w:ascii="Arial" w:hAnsi="Arial" w:eastAsia="Arial"/>
                <w:color w:val="000000"/>
              </w:rPr>
              <w:t>5</w:t>
            </w:r>
            <w:r>
              <w:rPr>
                <w:rFonts w:hint="eastAsia" w:ascii="Arial" w:hAnsi="Arial" w:eastAsia="Arial"/>
                <w:color w:val="000000"/>
              </w:rPr>
              <w:t xml:space="preserve">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973" w:type="dxa"/>
          </w:tcPr>
          <w:p>
            <w:pPr>
              <w:autoSpaceDE w:val="0"/>
              <w:autoSpaceDN w:val="0"/>
              <w:rPr>
                <w:rFonts w:ascii="Arial" w:hAnsi="Arial" w:eastAsia="Arial"/>
                <w:b/>
                <w:bCs/>
                <w:color w:val="000000"/>
              </w:rPr>
            </w:pPr>
            <w:r>
              <w:rPr>
                <w:rFonts w:hint="eastAsia" w:ascii="宋体" w:hAnsi="宋体"/>
                <w:b/>
                <w:bCs/>
                <w:color w:val="000000"/>
              </w:rPr>
              <w:t>租用价格</w:t>
            </w:r>
            <w:r>
              <w:rPr>
                <w:rFonts w:hint="eastAsia" w:ascii="Arial" w:hAnsi="Arial" w:eastAsia="Arial"/>
                <w:b/>
                <w:bCs/>
                <w:color w:val="000000"/>
              </w:rPr>
              <w:t>(</w:t>
            </w:r>
            <w:r>
              <w:rPr>
                <w:rFonts w:hint="eastAsia" w:ascii="宋体" w:hAnsi="宋体"/>
                <w:b/>
                <w:bCs/>
                <w:color w:val="000000"/>
              </w:rPr>
              <w:t>元</w:t>
            </w:r>
            <w:r>
              <w:rPr>
                <w:rFonts w:hint="eastAsia" w:ascii="Arial" w:hAnsi="Arial" w:eastAsia="Arial"/>
                <w:b/>
                <w:bCs/>
                <w:color w:val="000000"/>
              </w:rPr>
              <w:t>/</w:t>
            </w:r>
            <w:r>
              <w:rPr>
                <w:rFonts w:hint="eastAsia" w:ascii="宋体" w:hAnsi="宋体"/>
                <w:b/>
                <w:bCs/>
                <w:color w:val="000000"/>
              </w:rPr>
              <w:t>季度</w:t>
            </w:r>
            <w:r>
              <w:rPr>
                <w:rFonts w:hint="eastAsia" w:ascii="Arial" w:hAnsi="Arial" w:eastAsia="Arial"/>
                <w:b/>
                <w:bCs/>
                <w:color w:val="000000"/>
              </w:rPr>
              <w:t xml:space="preserve">) </w:t>
            </w:r>
          </w:p>
        </w:tc>
        <w:tc>
          <w:tcPr>
            <w:tcW w:w="1973" w:type="dxa"/>
          </w:tcPr>
          <w:p>
            <w:pPr>
              <w:autoSpaceDE w:val="0"/>
              <w:autoSpaceDN w:val="0"/>
              <w:rPr>
                <w:rFonts w:ascii="Arial" w:hAnsi="Arial" w:eastAsia="Arial"/>
                <w:color w:val="000000"/>
              </w:rPr>
            </w:pPr>
            <w:r>
              <w:rPr>
                <w:rFonts w:ascii="Arial" w:hAnsi="Arial"/>
                <w:color w:val="000000"/>
              </w:rPr>
              <w:t>11</w:t>
            </w:r>
            <w:r>
              <w:rPr>
                <w:rFonts w:hint="eastAsia" w:ascii="Arial" w:hAnsi="Arial" w:eastAsia="Arial"/>
                <w:color w:val="000000"/>
              </w:rPr>
              <w:t xml:space="preserve">,000.00 </w:t>
            </w:r>
          </w:p>
        </w:tc>
        <w:tc>
          <w:tcPr>
            <w:tcW w:w="1973" w:type="dxa"/>
          </w:tcPr>
          <w:p>
            <w:pPr>
              <w:autoSpaceDE w:val="0"/>
              <w:autoSpaceDN w:val="0"/>
              <w:rPr>
                <w:rFonts w:ascii="Arial" w:hAnsi="Arial" w:eastAsia="Arial"/>
                <w:color w:val="000000"/>
              </w:rPr>
            </w:pPr>
            <w:r>
              <w:rPr>
                <w:rFonts w:ascii="Arial" w:hAnsi="Arial" w:eastAsia="Arial"/>
                <w:color w:val="000000"/>
              </w:rPr>
              <w:t>8</w:t>
            </w:r>
            <w:r>
              <w:rPr>
                <w:rFonts w:hint="eastAsia" w:ascii="Arial" w:hAnsi="Arial" w:eastAsia="Arial"/>
                <w:color w:val="000000"/>
              </w:rPr>
              <w:t xml:space="preserve">,000.00 </w:t>
            </w:r>
          </w:p>
        </w:tc>
        <w:tc>
          <w:tcPr>
            <w:tcW w:w="1973" w:type="dxa"/>
          </w:tcPr>
          <w:p>
            <w:pPr>
              <w:autoSpaceDE w:val="0"/>
              <w:autoSpaceDN w:val="0"/>
              <w:rPr>
                <w:rFonts w:ascii="Arial" w:hAnsi="Arial" w:eastAsia="Arial"/>
                <w:color w:val="000000"/>
              </w:rPr>
            </w:pPr>
            <w:r>
              <w:rPr>
                <w:rFonts w:ascii="Arial" w:hAnsi="Arial" w:eastAsia="Arial"/>
                <w:color w:val="000000"/>
              </w:rPr>
              <w:t>5</w:t>
            </w:r>
            <w:r>
              <w:rPr>
                <w:rFonts w:hint="eastAsia" w:ascii="Arial" w:hAnsi="Arial" w:eastAsia="Arial"/>
                <w:color w:val="000000"/>
              </w:rPr>
              <w:t xml:space="preserve">,000.00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973" w:type="dxa"/>
          </w:tcPr>
          <w:p>
            <w:pPr>
              <w:autoSpaceDE w:val="0"/>
              <w:autoSpaceDN w:val="0"/>
              <w:rPr>
                <w:rFonts w:ascii="宋体" w:hAnsi="宋体"/>
                <w:b/>
                <w:bCs/>
                <w:color w:val="000000"/>
              </w:rPr>
            </w:pPr>
            <w:r>
              <w:rPr>
                <w:rFonts w:hint="eastAsia" w:ascii="宋体" w:hAnsi="宋体"/>
                <w:b/>
                <w:bCs/>
                <w:color w:val="000000"/>
              </w:rPr>
              <w:t xml:space="preserve">折旧率 </w:t>
            </w:r>
          </w:p>
        </w:tc>
        <w:tc>
          <w:tcPr>
            <w:tcW w:w="1973" w:type="dxa"/>
          </w:tcPr>
          <w:p>
            <w:pPr>
              <w:autoSpaceDE w:val="0"/>
              <w:autoSpaceDN w:val="0"/>
              <w:rPr>
                <w:rFonts w:ascii="Arial" w:hAnsi="Arial" w:eastAsia="Arial"/>
                <w:color w:val="000000"/>
              </w:rPr>
            </w:pPr>
            <w:r>
              <w:rPr>
                <w:rFonts w:hint="eastAsia" w:ascii="Arial" w:hAnsi="Arial" w:eastAsia="Arial"/>
                <w:color w:val="000000"/>
              </w:rPr>
              <w:t xml:space="preserve">2.00% </w:t>
            </w:r>
          </w:p>
        </w:tc>
        <w:tc>
          <w:tcPr>
            <w:tcW w:w="1973" w:type="dxa"/>
          </w:tcPr>
          <w:p>
            <w:pPr>
              <w:autoSpaceDE w:val="0"/>
              <w:autoSpaceDN w:val="0"/>
              <w:rPr>
                <w:rFonts w:ascii="Arial" w:hAnsi="Arial" w:eastAsia="Arial"/>
                <w:color w:val="000000"/>
              </w:rPr>
            </w:pPr>
            <w:r>
              <w:rPr>
                <w:rFonts w:hint="eastAsia" w:ascii="Arial" w:hAnsi="Arial" w:eastAsia="Arial"/>
                <w:color w:val="000000"/>
              </w:rPr>
              <w:t xml:space="preserve">2.00% </w:t>
            </w:r>
          </w:p>
        </w:tc>
        <w:tc>
          <w:tcPr>
            <w:tcW w:w="1973" w:type="dxa"/>
          </w:tcPr>
          <w:p>
            <w:pPr>
              <w:autoSpaceDE w:val="0"/>
              <w:autoSpaceDN w:val="0"/>
              <w:rPr>
                <w:rFonts w:ascii="Arial" w:hAnsi="Arial" w:eastAsia="Arial"/>
                <w:color w:val="000000"/>
              </w:rPr>
            </w:pPr>
            <w:r>
              <w:rPr>
                <w:rFonts w:hint="eastAsia" w:ascii="Arial" w:hAnsi="Arial" w:eastAsia="Arial"/>
                <w:color w:val="000000"/>
              </w:rPr>
              <w:t xml:space="preserve">2.00% </w:t>
            </w:r>
          </w:p>
        </w:tc>
      </w:tr>
    </w:tbl>
    <w:p>
      <w:pPr>
        <w:rPr>
          <w:rFonts w:ascii="宋体" w:hAnsi="宋体"/>
          <w:color w:val="000000"/>
          <w:sz w:val="20"/>
          <w:shd w:val="clear" w:color="auto" w:fill="FFFFFF"/>
        </w:rPr>
      </w:pPr>
    </w:p>
    <w:p>
      <w:pPr>
        <w:numPr>
          <w:ilvl w:val="0"/>
          <w:numId w:val="4"/>
        </w:numPr>
        <w:rPr>
          <w:rFonts w:ascii="宋体" w:hAnsi="宋体"/>
          <w:color w:val="000000"/>
          <w:sz w:val="20"/>
        </w:rPr>
      </w:pPr>
      <w:r>
        <w:rPr>
          <w:rFonts w:ascii="宋体" w:hAnsi="宋体"/>
          <w:color w:val="000000"/>
          <w:szCs w:val="21"/>
        </w:rPr>
        <w:t>设备购置</w:t>
      </w:r>
      <w:r>
        <w:rPr>
          <w:rFonts w:ascii="宋体" w:hAnsi="宋体"/>
          <w:color w:val="000000"/>
          <w:szCs w:val="21"/>
        </w:rPr>
        <w:br w:type="textWrapping"/>
      </w:r>
      <w:r>
        <w:rPr>
          <w:rFonts w:ascii="宋体" w:hAnsi="宋体"/>
          <w:color w:val="000000"/>
          <w:szCs w:val="21"/>
        </w:rPr>
        <w:t xml:space="preserve">购买价格：设备只能购买，购买当时即支付购买价格所标识的现金。 </w:t>
      </w:r>
      <w:r>
        <w:rPr>
          <w:rFonts w:ascii="宋体" w:hAnsi="宋体"/>
          <w:color w:val="000000"/>
          <w:szCs w:val="21"/>
        </w:rPr>
        <w:br w:type="textWrapping"/>
      </w:r>
      <w:r>
        <w:rPr>
          <w:rFonts w:ascii="宋体" w:hAnsi="宋体"/>
          <w:color w:val="000000"/>
          <w:szCs w:val="21"/>
        </w:rPr>
        <w:t xml:space="preserve">设备产能：设备的设备产能是指在同一个生产周期内最多能投入生产的产品数量。 </w:t>
      </w:r>
      <w:r>
        <w:rPr>
          <w:rFonts w:ascii="宋体" w:hAnsi="宋体"/>
          <w:color w:val="000000"/>
          <w:szCs w:val="21"/>
        </w:rPr>
        <w:br w:type="textWrapping"/>
      </w:r>
      <w:r>
        <w:rPr>
          <w:rFonts w:ascii="宋体" w:hAnsi="宋体"/>
          <w:color w:val="000000"/>
          <w:szCs w:val="21"/>
        </w:rPr>
        <w:t xml:space="preserve">成品率：对于一批固定数量的原料投入到设备中后，在加工成产品的过程中会产生部分次品。 </w:t>
      </w:r>
      <w:r>
        <w:rPr>
          <w:rFonts w:ascii="宋体" w:hAnsi="宋体"/>
          <w:color w:val="000000"/>
          <w:szCs w:val="21"/>
        </w:rPr>
        <w:br w:type="textWrapping"/>
      </w:r>
      <w:r>
        <w:rPr>
          <w:rFonts w:ascii="宋体" w:hAnsi="宋体"/>
          <w:color w:val="000000"/>
          <w:szCs w:val="21"/>
        </w:rPr>
        <w:t xml:space="preserve">混合投料：设备在同一生产周期内是否允许同时生产多种产品。 </w:t>
      </w:r>
      <w:r>
        <w:rPr>
          <w:rFonts w:ascii="宋体" w:hAnsi="宋体"/>
          <w:color w:val="000000"/>
          <w:sz w:val="20"/>
        </w:rPr>
        <w:br w:type="textWrapping"/>
      </w:r>
      <w:r>
        <w:rPr>
          <w:rFonts w:ascii="宋体" w:hAnsi="宋体"/>
          <w:color w:val="000000"/>
          <w:szCs w:val="21"/>
        </w:rPr>
        <w:t xml:space="preserve">安装周期：设备自购买当期开始到设备安装完成可用所需的时间。 </w:t>
      </w:r>
      <w:r>
        <w:rPr>
          <w:rFonts w:ascii="宋体" w:hAnsi="宋体"/>
          <w:color w:val="000000"/>
          <w:szCs w:val="21"/>
        </w:rPr>
        <w:br w:type="textWrapping"/>
      </w:r>
      <w:r>
        <w:rPr>
          <w:rFonts w:ascii="宋体" w:hAnsi="宋体"/>
          <w:color w:val="000000"/>
          <w:szCs w:val="21"/>
        </w:rPr>
        <w:t xml:space="preserve">生产周期：原料投入直到产品下线所需的时间。 </w:t>
      </w:r>
      <w:r>
        <w:rPr>
          <w:rFonts w:ascii="宋体" w:hAnsi="宋体"/>
          <w:color w:val="000000"/>
          <w:szCs w:val="21"/>
        </w:rPr>
        <w:br w:type="textWrapping"/>
      </w:r>
      <w:r>
        <w:rPr>
          <w:rFonts w:ascii="宋体" w:hAnsi="宋体"/>
          <w:color w:val="000000"/>
          <w:szCs w:val="21"/>
        </w:rPr>
        <w:t xml:space="preserve">单件加工费：加工每一件成品所需的加工费用。 </w:t>
      </w:r>
      <w:r>
        <w:rPr>
          <w:rFonts w:ascii="宋体" w:hAnsi="宋体"/>
          <w:color w:val="000000"/>
          <w:szCs w:val="21"/>
        </w:rPr>
        <w:br w:type="textWrapping"/>
      </w:r>
      <w:r>
        <w:rPr>
          <w:rFonts w:ascii="宋体" w:hAnsi="宋体"/>
          <w:color w:val="000000"/>
          <w:szCs w:val="21"/>
        </w:rPr>
        <w:t xml:space="preserve">工人上限：每条设备允许配置的最大工人数，设备产能、成品率，线上工人总生产能力3个因素决定了一条设备的实际产能。 </w:t>
      </w:r>
      <w:r>
        <w:rPr>
          <w:rFonts w:ascii="宋体" w:hAnsi="宋体"/>
          <w:color w:val="000000"/>
          <w:szCs w:val="21"/>
        </w:rPr>
        <w:br w:type="textWrapping"/>
      </w:r>
      <w:r>
        <w:rPr>
          <w:rFonts w:ascii="宋体" w:hAnsi="宋体"/>
          <w:color w:val="000000"/>
          <w:szCs w:val="21"/>
        </w:rPr>
        <w:t xml:space="preserve">设备可以出售，当设备上无在制品时，设备可以立即出售,出售后设备上的工人将自动转为闲置状态。出售设备将以设备净值回收现金。 </w:t>
      </w:r>
      <w:r>
        <w:rPr>
          <w:rFonts w:ascii="宋体" w:hAnsi="宋体"/>
          <w:color w:val="000000"/>
          <w:szCs w:val="21"/>
        </w:rPr>
        <w:br w:type="textWrapping"/>
      </w:r>
      <w:r>
        <w:rPr>
          <w:rFonts w:ascii="宋体" w:hAnsi="宋体"/>
          <w:color w:val="000000"/>
          <w:szCs w:val="21"/>
        </w:rPr>
        <w:t xml:space="preserve">维护费用：当设备不处于安装周期时，每季度需支付设备维护费用，该费用在每期期末自动扣除。 </w:t>
      </w:r>
      <w:r>
        <w:rPr>
          <w:rFonts w:ascii="宋体" w:hAnsi="宋体"/>
          <w:color w:val="000000"/>
          <w:szCs w:val="21"/>
        </w:rPr>
        <w:br w:type="textWrapping"/>
      </w:r>
      <w:r>
        <w:rPr>
          <w:rFonts w:ascii="宋体" w:hAnsi="宋体"/>
          <w:color w:val="000000"/>
          <w:szCs w:val="21"/>
        </w:rPr>
        <w:t xml:space="preserve">升级费用：对设备进行一次设备升级所需花费的费用，该费用在升级当时即自动扣除，每条设备在同一个升级周期内只允许进行一次设备升级。 </w:t>
      </w:r>
      <w:r>
        <w:rPr>
          <w:rFonts w:ascii="宋体" w:hAnsi="宋体"/>
          <w:color w:val="000000"/>
          <w:szCs w:val="21"/>
        </w:rPr>
        <w:br w:type="textWrapping"/>
      </w:r>
      <w:r>
        <w:rPr>
          <w:rFonts w:ascii="宋体" w:hAnsi="宋体"/>
          <w:color w:val="000000"/>
          <w:szCs w:val="21"/>
        </w:rPr>
        <w:t xml:space="preserve">升级周期：完成一次设备升级所需的时间。 </w:t>
      </w:r>
      <w:r>
        <w:rPr>
          <w:rFonts w:ascii="宋体" w:hAnsi="宋体"/>
          <w:color w:val="000000"/>
          <w:szCs w:val="21"/>
        </w:rPr>
        <w:br w:type="textWrapping"/>
      </w:r>
      <w:r>
        <w:rPr>
          <w:rFonts w:ascii="宋体" w:hAnsi="宋体"/>
          <w:color w:val="000000"/>
          <w:szCs w:val="21"/>
        </w:rPr>
        <w:t xml:space="preserve">升级提升：设备完成一次升级后，设备成品率将在原有成品率基础上提升的百分比。升级后设备成品率＝升级前设备成品率 + 每次升级可提升的成品率 </w:t>
      </w:r>
      <w:r>
        <w:rPr>
          <w:rFonts w:ascii="宋体" w:hAnsi="宋体"/>
          <w:color w:val="000000"/>
          <w:szCs w:val="21"/>
        </w:rPr>
        <w:br w:type="textWrapping"/>
      </w:r>
      <w:r>
        <w:rPr>
          <w:rFonts w:ascii="宋体" w:hAnsi="宋体"/>
          <w:color w:val="000000"/>
          <w:szCs w:val="21"/>
        </w:rPr>
        <w:t xml:space="preserve">搬迁周期：设备从一个厂房搬迁到另一个厂房所需花费的时间。 </w:t>
      </w:r>
      <w:r>
        <w:rPr>
          <w:rFonts w:ascii="宋体" w:hAnsi="宋体"/>
          <w:color w:val="000000"/>
          <w:szCs w:val="21"/>
        </w:rPr>
        <w:br w:type="textWrapping"/>
      </w:r>
      <w:r>
        <w:rPr>
          <w:rFonts w:ascii="宋体" w:hAnsi="宋体"/>
          <w:color w:val="000000"/>
          <w:szCs w:val="21"/>
        </w:rPr>
        <w:t xml:space="preserve">搬迁费用：设备从一个厂房搬迁到另一个厂房所需花费的费用，该费用在搬迁当时即自动扣除。 </w:t>
      </w:r>
    </w:p>
    <w:tbl>
      <w:tblPr>
        <w:tblStyle w:val="10"/>
        <w:tblW w:w="89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1"/>
        <w:gridCol w:w="7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53" w:type="dxa"/>
          </w:tcPr>
          <w:p>
            <w:pPr>
              <w:autoSpaceDE w:val="0"/>
              <w:autoSpaceDN w:val="0"/>
              <w:rPr>
                <w:rFonts w:ascii="宋体" w:hAnsi="宋体"/>
                <w:b/>
                <w:bCs/>
                <w:color w:val="000000"/>
              </w:rPr>
            </w:pPr>
            <w:r>
              <w:rPr>
                <w:rFonts w:ascii="宋体" w:hAnsi="宋体"/>
                <w:b/>
                <w:bCs/>
                <w:color w:val="000000"/>
              </w:rPr>
              <w:drawing>
                <wp:inline distT="0" distB="0" distL="0" distR="0">
                  <wp:extent cx="1621790" cy="1207770"/>
                  <wp:effectExtent l="19050" t="0" r="0" b="0"/>
                  <wp:docPr id="5" name="图片框 1041" descr="http://127.0.0.1:8082/BSTCS/image/sc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41" descr="http://127.0.0.1:8082/BSTCS/image/scx1.jpg"/>
                          <pic:cNvPicPr>
                            <a:picLocks noChangeAspect="1" noChangeArrowheads="1"/>
                          </pic:cNvPicPr>
                        </pic:nvPicPr>
                        <pic:blipFill>
                          <a:blip r:embed="rId10"/>
                          <a:srcRect/>
                          <a:stretch>
                            <a:fillRect/>
                          </a:stretch>
                        </pic:blipFill>
                        <pic:spPr>
                          <a:xfrm>
                            <a:off x="0" y="0"/>
                            <a:ext cx="1621790" cy="1207770"/>
                          </a:xfrm>
                          <a:prstGeom prst="rect">
                            <a:avLst/>
                          </a:prstGeom>
                          <a:noFill/>
                          <a:ln w="9525">
                            <a:noFill/>
                            <a:miter lim="800000"/>
                            <a:headEnd/>
                            <a:tailEnd/>
                          </a:ln>
                        </pic:spPr>
                      </pic:pic>
                    </a:graphicData>
                  </a:graphic>
                </wp:inline>
              </w:drawing>
            </w:r>
          </w:p>
        </w:tc>
        <w:tc>
          <w:tcPr>
            <w:tcW w:w="7198" w:type="dxa"/>
          </w:tcPr>
          <w:tbl>
            <w:tblPr>
              <w:tblStyle w:val="10"/>
              <w:tblW w:w="706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940"/>
              <w:gridCol w:w="1601"/>
              <w:gridCol w:w="155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Borders>
                    <w:top w:val="single" w:color="4F81BD" w:themeColor="accent1" w:sz="8" w:space="0"/>
                    <w:left w:val="nil"/>
                    <w:bottom w:val="single" w:color="4F81BD" w:themeColor="accent1" w:sz="8" w:space="0"/>
                    <w:right w:val="nil"/>
                  </w:tcBorders>
                </w:tcPr>
                <w:p>
                  <w:pPr>
                    <w:autoSpaceDE w:val="0"/>
                    <w:autoSpaceDN w:val="0"/>
                    <w:rPr>
                      <w:rFonts w:ascii="宋体" w:hAnsi="宋体"/>
                      <w:b/>
                      <w:bCs/>
                      <w:color w:val="000000"/>
                    </w:rPr>
                  </w:pPr>
                  <w:r>
                    <w:rPr>
                      <w:rFonts w:ascii="宋体" w:hAnsi="宋体"/>
                      <w:b/>
                      <w:bCs/>
                      <w:color w:val="000000"/>
                    </w:rPr>
                    <w:t>设备名称</w:t>
                  </w:r>
                </w:p>
              </w:tc>
              <w:tc>
                <w:tcPr>
                  <w:tcW w:w="1921" w:type="dxa"/>
                  <w:tcBorders>
                    <w:top w:val="single" w:color="4F81BD" w:themeColor="accent1" w:sz="8" w:space="0"/>
                    <w:left w:val="nil"/>
                    <w:bottom w:val="single" w:color="4F81BD" w:themeColor="accent1" w:sz="8" w:space="0"/>
                    <w:right w:val="nil"/>
                  </w:tcBorders>
                </w:tcPr>
                <w:p>
                  <w:pPr>
                    <w:autoSpaceDE w:val="0"/>
                    <w:autoSpaceDN w:val="0"/>
                    <w:rPr>
                      <w:rFonts w:ascii="宋体" w:hAnsi="宋体"/>
                      <w:b/>
                      <w:bCs/>
                      <w:color w:val="000000"/>
                    </w:rPr>
                  </w:pPr>
                  <w:r>
                    <w:rPr>
                      <w:rFonts w:ascii="宋体" w:hAnsi="宋体"/>
                      <w:b/>
                      <w:bCs/>
                      <w:color w:val="000000"/>
                    </w:rPr>
                    <w:t>柔性线</w:t>
                  </w:r>
                </w:p>
              </w:tc>
              <w:tc>
                <w:tcPr>
                  <w:tcW w:w="1585" w:type="dxa"/>
                  <w:tcBorders>
                    <w:top w:val="single" w:color="4F81BD" w:themeColor="accent1" w:sz="8" w:space="0"/>
                    <w:left w:val="nil"/>
                    <w:bottom w:val="single" w:color="4F81BD" w:themeColor="accent1" w:sz="8" w:space="0"/>
                    <w:right w:val="nil"/>
                  </w:tcBorders>
                </w:tcPr>
                <w:p>
                  <w:pPr>
                    <w:autoSpaceDE w:val="0"/>
                    <w:autoSpaceDN w:val="0"/>
                    <w:rPr>
                      <w:rFonts w:ascii="宋体" w:hAnsi="宋体"/>
                      <w:b/>
                      <w:bCs/>
                      <w:color w:val="000000"/>
                    </w:rPr>
                  </w:pPr>
                </w:p>
              </w:tc>
              <w:tc>
                <w:tcPr>
                  <w:tcW w:w="1537" w:type="dxa"/>
                  <w:tcBorders>
                    <w:top w:val="single" w:color="4F81BD" w:themeColor="accent1" w:sz="8" w:space="0"/>
                    <w:left w:val="nil"/>
                    <w:bottom w:val="single" w:color="4F81BD" w:themeColor="accent1" w:sz="8" w:space="0"/>
                    <w:right w:val="nil"/>
                  </w:tcBorders>
                </w:tcPr>
                <w:p>
                  <w:pPr>
                    <w:autoSpaceDE w:val="0"/>
                    <w:autoSpaceDN w:val="0"/>
                    <w:rPr>
                      <w:rFonts w:ascii="宋体" w:hAnsi="宋体"/>
                      <w:b/>
                      <w:bCs/>
                      <w:color w:val="000000"/>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购买价格</w:t>
                  </w:r>
                </w:p>
              </w:tc>
              <w:tc>
                <w:tcPr>
                  <w:tcW w:w="1921"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1</w:t>
                  </w:r>
                  <w:r>
                    <w:rPr>
                      <w:rFonts w:hint="eastAsia" w:ascii="宋体" w:hAnsi="宋体"/>
                      <w:b/>
                      <w:bCs/>
                      <w:color w:val="000000"/>
                    </w:rPr>
                    <w:t>2</w:t>
                  </w:r>
                  <w:r>
                    <w:rPr>
                      <w:rFonts w:ascii="宋体" w:hAnsi="宋体"/>
                      <w:b/>
                      <w:bCs/>
                      <w:color w:val="000000"/>
                    </w:rPr>
                    <w:t>0,000.00</w:t>
                  </w:r>
                </w:p>
              </w:tc>
              <w:tc>
                <w:tcPr>
                  <w:tcW w:w="1585"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设备产能</w:t>
                  </w:r>
                </w:p>
              </w:tc>
              <w:tc>
                <w:tcPr>
                  <w:tcW w:w="1537"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500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Pr>
                <w:p>
                  <w:pPr>
                    <w:autoSpaceDE w:val="0"/>
                    <w:autoSpaceDN w:val="0"/>
                    <w:rPr>
                      <w:rFonts w:ascii="宋体" w:hAnsi="宋体"/>
                      <w:b/>
                      <w:bCs/>
                      <w:color w:val="000000"/>
                    </w:rPr>
                  </w:pPr>
                  <w:r>
                    <w:rPr>
                      <w:rFonts w:ascii="宋体" w:hAnsi="宋体"/>
                      <w:b/>
                      <w:bCs/>
                      <w:color w:val="000000"/>
                    </w:rPr>
                    <w:t>成品率</w:t>
                  </w:r>
                </w:p>
              </w:tc>
              <w:tc>
                <w:tcPr>
                  <w:tcW w:w="1921" w:type="dxa"/>
                </w:tcPr>
                <w:p>
                  <w:pPr>
                    <w:autoSpaceDE w:val="0"/>
                    <w:autoSpaceDN w:val="0"/>
                    <w:rPr>
                      <w:rFonts w:ascii="宋体" w:hAnsi="宋体"/>
                      <w:b/>
                      <w:bCs/>
                      <w:color w:val="000000"/>
                    </w:rPr>
                  </w:pPr>
                  <w:r>
                    <w:rPr>
                      <w:rFonts w:ascii="宋体" w:hAnsi="宋体"/>
                      <w:b/>
                      <w:bCs/>
                      <w:color w:val="000000"/>
                    </w:rPr>
                    <w:t>90.00%</w:t>
                  </w:r>
                </w:p>
              </w:tc>
              <w:tc>
                <w:tcPr>
                  <w:tcW w:w="1585" w:type="dxa"/>
                </w:tcPr>
                <w:p>
                  <w:pPr>
                    <w:autoSpaceDE w:val="0"/>
                    <w:autoSpaceDN w:val="0"/>
                    <w:rPr>
                      <w:rFonts w:ascii="宋体" w:hAnsi="宋体"/>
                      <w:b/>
                      <w:bCs/>
                      <w:color w:val="000000"/>
                    </w:rPr>
                  </w:pPr>
                  <w:r>
                    <w:rPr>
                      <w:rFonts w:ascii="宋体" w:hAnsi="宋体"/>
                      <w:b/>
                      <w:bCs/>
                      <w:color w:val="000000"/>
                    </w:rPr>
                    <w:t>混合投料</w:t>
                  </w:r>
                </w:p>
              </w:tc>
              <w:tc>
                <w:tcPr>
                  <w:tcW w:w="1537" w:type="dxa"/>
                </w:tcPr>
                <w:p>
                  <w:pPr>
                    <w:autoSpaceDE w:val="0"/>
                    <w:autoSpaceDN w:val="0"/>
                    <w:rPr>
                      <w:rFonts w:ascii="宋体" w:hAnsi="宋体"/>
                      <w:b/>
                      <w:bCs/>
                      <w:color w:val="000000"/>
                    </w:rPr>
                  </w:pPr>
                  <w:r>
                    <w:rPr>
                      <w:rFonts w:ascii="宋体" w:hAnsi="宋体"/>
                      <w:b/>
                      <w:bCs/>
                      <w:color w:val="000000"/>
                    </w:rPr>
                    <w:t>是</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安装周期</w:t>
                  </w:r>
                </w:p>
              </w:tc>
              <w:tc>
                <w:tcPr>
                  <w:tcW w:w="1921"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1</w:t>
                  </w:r>
                </w:p>
              </w:tc>
              <w:tc>
                <w:tcPr>
                  <w:tcW w:w="1585"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生产周期</w:t>
                  </w:r>
                </w:p>
              </w:tc>
              <w:tc>
                <w:tcPr>
                  <w:tcW w:w="1537"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Pr>
                <w:p>
                  <w:pPr>
                    <w:autoSpaceDE w:val="0"/>
                    <w:autoSpaceDN w:val="0"/>
                    <w:rPr>
                      <w:rFonts w:ascii="宋体" w:hAnsi="宋体"/>
                      <w:b/>
                      <w:bCs/>
                      <w:color w:val="000000"/>
                    </w:rPr>
                  </w:pPr>
                  <w:r>
                    <w:rPr>
                      <w:rFonts w:ascii="宋体" w:hAnsi="宋体"/>
                      <w:b/>
                      <w:bCs/>
                      <w:color w:val="000000"/>
                    </w:rPr>
                    <w:t>单件加工费</w:t>
                  </w:r>
                </w:p>
              </w:tc>
              <w:tc>
                <w:tcPr>
                  <w:tcW w:w="1921" w:type="dxa"/>
                </w:tcPr>
                <w:p>
                  <w:pPr>
                    <w:autoSpaceDE w:val="0"/>
                    <w:autoSpaceDN w:val="0"/>
                    <w:rPr>
                      <w:rFonts w:ascii="宋体" w:hAnsi="宋体"/>
                      <w:b/>
                      <w:bCs/>
                      <w:color w:val="000000"/>
                    </w:rPr>
                  </w:pPr>
                  <w:r>
                    <w:rPr>
                      <w:rFonts w:ascii="宋体" w:hAnsi="宋体"/>
                      <w:b/>
                      <w:bCs/>
                      <w:color w:val="000000"/>
                    </w:rPr>
                    <w:t>10.00</w:t>
                  </w:r>
                </w:p>
              </w:tc>
              <w:tc>
                <w:tcPr>
                  <w:tcW w:w="1585" w:type="dxa"/>
                </w:tcPr>
                <w:p>
                  <w:pPr>
                    <w:autoSpaceDE w:val="0"/>
                    <w:autoSpaceDN w:val="0"/>
                    <w:rPr>
                      <w:rFonts w:ascii="宋体" w:hAnsi="宋体"/>
                      <w:b/>
                      <w:bCs/>
                      <w:color w:val="000000"/>
                    </w:rPr>
                  </w:pPr>
                  <w:r>
                    <w:rPr>
                      <w:rFonts w:ascii="宋体" w:hAnsi="宋体"/>
                      <w:b/>
                      <w:bCs/>
                      <w:color w:val="000000"/>
                    </w:rPr>
                    <w:t>工人上限</w:t>
                  </w:r>
                </w:p>
              </w:tc>
              <w:tc>
                <w:tcPr>
                  <w:tcW w:w="1537" w:type="dxa"/>
                </w:tcPr>
                <w:p>
                  <w:pPr>
                    <w:autoSpaceDE w:val="0"/>
                    <w:autoSpaceDN w:val="0"/>
                    <w:rPr>
                      <w:rFonts w:ascii="宋体" w:hAnsi="宋体"/>
                      <w:b/>
                      <w:bCs/>
                      <w:color w:val="000000"/>
                    </w:rPr>
                  </w:pPr>
                  <w:r>
                    <w:rPr>
                      <w:rFonts w:ascii="宋体" w:hAnsi="宋体"/>
                      <w:b/>
                      <w:bCs/>
                      <w:color w:val="000000"/>
                    </w:rPr>
                    <w:t>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维护费用</w:t>
                  </w:r>
                </w:p>
              </w:tc>
              <w:tc>
                <w:tcPr>
                  <w:tcW w:w="1921" w:type="dxa"/>
                  <w:tcBorders>
                    <w:left w:val="nil"/>
                    <w:right w:val="nil"/>
                  </w:tcBorders>
                  <w:shd w:val="clear" w:color="auto" w:fill="D3DFEE" w:themeFill="accent1" w:themeFillTint="3F"/>
                </w:tcPr>
                <w:p>
                  <w:pPr>
                    <w:autoSpaceDE w:val="0"/>
                    <w:autoSpaceDN w:val="0"/>
                    <w:rPr>
                      <w:rFonts w:ascii="宋体" w:hAnsi="宋体"/>
                      <w:b/>
                      <w:bCs/>
                      <w:color w:val="000000"/>
                    </w:rPr>
                  </w:pPr>
                  <w:r>
                    <w:rPr>
                      <w:rFonts w:hint="eastAsia" w:ascii="宋体" w:hAnsi="宋体"/>
                      <w:b/>
                      <w:bCs/>
                      <w:color w:val="000000"/>
                    </w:rPr>
                    <w:t>3</w:t>
                  </w:r>
                  <w:r>
                    <w:rPr>
                      <w:rFonts w:ascii="宋体" w:hAnsi="宋体"/>
                      <w:b/>
                      <w:bCs/>
                      <w:color w:val="000000"/>
                    </w:rPr>
                    <w:t>,000.00</w:t>
                  </w:r>
                </w:p>
              </w:tc>
              <w:tc>
                <w:tcPr>
                  <w:tcW w:w="1585"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升级费用</w:t>
                  </w:r>
                </w:p>
              </w:tc>
              <w:tc>
                <w:tcPr>
                  <w:tcW w:w="1537"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1,000.00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Pr>
                <w:p>
                  <w:pPr>
                    <w:autoSpaceDE w:val="0"/>
                    <w:autoSpaceDN w:val="0"/>
                    <w:rPr>
                      <w:rFonts w:ascii="宋体" w:hAnsi="宋体"/>
                      <w:b/>
                      <w:bCs/>
                      <w:color w:val="000000"/>
                    </w:rPr>
                  </w:pPr>
                  <w:r>
                    <w:rPr>
                      <w:rFonts w:ascii="宋体" w:hAnsi="宋体"/>
                      <w:b/>
                      <w:bCs/>
                      <w:color w:val="000000"/>
                    </w:rPr>
                    <w:t>升级周期</w:t>
                  </w:r>
                </w:p>
              </w:tc>
              <w:tc>
                <w:tcPr>
                  <w:tcW w:w="1921" w:type="dxa"/>
                </w:tcPr>
                <w:p>
                  <w:pPr>
                    <w:autoSpaceDE w:val="0"/>
                    <w:autoSpaceDN w:val="0"/>
                    <w:rPr>
                      <w:rFonts w:ascii="宋体" w:hAnsi="宋体"/>
                      <w:b/>
                      <w:bCs/>
                      <w:color w:val="000000"/>
                    </w:rPr>
                  </w:pPr>
                  <w:r>
                    <w:rPr>
                      <w:rFonts w:ascii="宋体" w:hAnsi="宋体"/>
                      <w:b/>
                      <w:bCs/>
                      <w:color w:val="000000"/>
                    </w:rPr>
                    <w:t>1</w:t>
                  </w:r>
                </w:p>
              </w:tc>
              <w:tc>
                <w:tcPr>
                  <w:tcW w:w="1585" w:type="dxa"/>
                </w:tcPr>
                <w:p>
                  <w:pPr>
                    <w:autoSpaceDE w:val="0"/>
                    <w:autoSpaceDN w:val="0"/>
                    <w:rPr>
                      <w:rFonts w:ascii="宋体" w:hAnsi="宋体"/>
                      <w:b/>
                      <w:bCs/>
                      <w:color w:val="000000"/>
                    </w:rPr>
                  </w:pPr>
                  <w:r>
                    <w:rPr>
                      <w:rFonts w:ascii="宋体" w:hAnsi="宋体"/>
                      <w:b/>
                      <w:bCs/>
                      <w:color w:val="000000"/>
                    </w:rPr>
                    <w:t>升级提升</w:t>
                  </w:r>
                </w:p>
              </w:tc>
              <w:tc>
                <w:tcPr>
                  <w:tcW w:w="1537" w:type="dxa"/>
                </w:tcPr>
                <w:p>
                  <w:pPr>
                    <w:autoSpaceDE w:val="0"/>
                    <w:autoSpaceDN w:val="0"/>
                    <w:rPr>
                      <w:rFonts w:ascii="宋体" w:hAnsi="宋体"/>
                      <w:b/>
                      <w:bCs/>
                      <w:color w:val="000000"/>
                    </w:rPr>
                  </w:pPr>
                  <w:r>
                    <w:rPr>
                      <w:rFonts w:hint="eastAsia" w:ascii="宋体" w:hAnsi="宋体"/>
                      <w:b/>
                      <w:bCs/>
                      <w:color w:val="000000"/>
                    </w:rPr>
                    <w:t>1</w:t>
                  </w:r>
                  <w:r>
                    <w:rPr>
                      <w:rFonts w:ascii="宋体" w:hAnsi="宋体"/>
                      <w:b/>
                      <w:bCs/>
                      <w:color w:val="000000"/>
                    </w:rPr>
                    <w:t>.00%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56"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搬迁周期</w:t>
                  </w:r>
                </w:p>
              </w:tc>
              <w:tc>
                <w:tcPr>
                  <w:tcW w:w="1921"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1</w:t>
                  </w:r>
                </w:p>
              </w:tc>
              <w:tc>
                <w:tcPr>
                  <w:tcW w:w="1585"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搬迁费用</w:t>
                  </w:r>
                </w:p>
              </w:tc>
              <w:tc>
                <w:tcPr>
                  <w:tcW w:w="1537"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4,000.00</w:t>
                  </w:r>
                </w:p>
              </w:tc>
            </w:tr>
          </w:tbl>
          <w:p>
            <w:pPr>
              <w:autoSpaceDE w:val="0"/>
              <w:autoSpaceDN w:val="0"/>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53" w:type="dxa"/>
          </w:tcPr>
          <w:p>
            <w:pPr>
              <w:autoSpaceDE w:val="0"/>
              <w:autoSpaceDN w:val="0"/>
              <w:rPr>
                <w:rFonts w:ascii="宋体" w:hAnsi="宋体"/>
                <w:b/>
                <w:bCs/>
                <w:color w:val="000000"/>
              </w:rPr>
            </w:pPr>
            <w:r>
              <w:rPr>
                <w:rFonts w:ascii="宋体" w:hAnsi="宋体"/>
                <w:b/>
                <w:bCs/>
                <w:color w:val="000000"/>
              </w:rPr>
              <w:drawing>
                <wp:inline distT="0" distB="0" distL="0" distR="0">
                  <wp:extent cx="1621790" cy="1207770"/>
                  <wp:effectExtent l="19050" t="0" r="0" b="0"/>
                  <wp:docPr id="6" name="图片框 1042" descr="http://127.0.0.1:8082/BSTCS/image/sc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42" descr="http://127.0.0.1:8082/BSTCS/image/scx2.jpg"/>
                          <pic:cNvPicPr>
                            <a:picLocks noChangeAspect="1" noChangeArrowheads="1"/>
                          </pic:cNvPicPr>
                        </pic:nvPicPr>
                        <pic:blipFill>
                          <a:blip r:embed="rId11"/>
                          <a:srcRect/>
                          <a:stretch>
                            <a:fillRect/>
                          </a:stretch>
                        </pic:blipFill>
                        <pic:spPr>
                          <a:xfrm>
                            <a:off x="0" y="0"/>
                            <a:ext cx="1621790" cy="1207770"/>
                          </a:xfrm>
                          <a:prstGeom prst="rect">
                            <a:avLst/>
                          </a:prstGeom>
                          <a:noFill/>
                          <a:ln w="9525">
                            <a:noFill/>
                            <a:miter lim="800000"/>
                            <a:headEnd/>
                            <a:tailEnd/>
                          </a:ln>
                        </pic:spPr>
                      </pic:pic>
                    </a:graphicData>
                  </a:graphic>
                </wp:inline>
              </w:drawing>
            </w:r>
          </w:p>
        </w:tc>
        <w:tc>
          <w:tcPr>
            <w:tcW w:w="7198" w:type="dxa"/>
          </w:tcPr>
          <w:tbl>
            <w:tblPr>
              <w:tblStyle w:val="10"/>
              <w:tblW w:w="7069" w:type="dxa"/>
              <w:tblInd w:w="0" w:type="dxa"/>
              <w:tblBorders>
                <w:top w:val="single" w:color="8064A2" w:sz="8" w:space="0"/>
                <w:left w:val="none" w:color="auto" w:sz="0" w:space="0"/>
                <w:bottom w:val="single" w:color="8064A2"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3"/>
              <w:gridCol w:w="1792"/>
              <w:gridCol w:w="1647"/>
              <w:gridCol w:w="1597"/>
            </w:tblGrid>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top w:val="single" w:color="8064A2" w:themeColor="accent4" w:sz="8" w:space="0"/>
                    <w:left w:val="nil"/>
                    <w:bottom w:val="single" w:color="8064A2" w:themeColor="accent4" w:sz="8" w:space="0"/>
                    <w:right w:val="nil"/>
                  </w:tcBorders>
                </w:tcPr>
                <w:p>
                  <w:pPr>
                    <w:autoSpaceDE w:val="0"/>
                    <w:autoSpaceDN w:val="0"/>
                    <w:rPr>
                      <w:rFonts w:ascii="宋体" w:hAnsi="宋体"/>
                      <w:b/>
                      <w:bCs/>
                      <w:color w:val="000000"/>
                    </w:rPr>
                  </w:pPr>
                  <w:r>
                    <w:rPr>
                      <w:rFonts w:ascii="宋体" w:hAnsi="宋体"/>
                      <w:b/>
                      <w:bCs/>
                      <w:color w:val="000000"/>
                    </w:rPr>
                    <w:t>设备名称</w:t>
                  </w:r>
                </w:p>
              </w:tc>
              <w:tc>
                <w:tcPr>
                  <w:tcW w:w="1774" w:type="dxa"/>
                  <w:tcBorders>
                    <w:top w:val="single" w:color="8064A2" w:themeColor="accent4" w:sz="8" w:space="0"/>
                    <w:left w:val="nil"/>
                    <w:bottom w:val="single" w:color="8064A2" w:themeColor="accent4" w:sz="8" w:space="0"/>
                    <w:right w:val="nil"/>
                  </w:tcBorders>
                </w:tcPr>
                <w:p>
                  <w:pPr>
                    <w:autoSpaceDE w:val="0"/>
                    <w:autoSpaceDN w:val="0"/>
                    <w:rPr>
                      <w:rFonts w:ascii="宋体" w:hAnsi="宋体"/>
                      <w:b/>
                      <w:bCs/>
                      <w:color w:val="000000"/>
                    </w:rPr>
                  </w:pPr>
                  <w:r>
                    <w:rPr>
                      <w:rFonts w:ascii="宋体" w:hAnsi="宋体"/>
                      <w:b/>
                      <w:bCs/>
                      <w:color w:val="000000"/>
                    </w:rPr>
                    <w:t>自动线</w:t>
                  </w:r>
                </w:p>
              </w:tc>
              <w:tc>
                <w:tcPr>
                  <w:tcW w:w="1631" w:type="dxa"/>
                  <w:tcBorders>
                    <w:top w:val="single" w:color="8064A2" w:themeColor="accent4" w:sz="8" w:space="0"/>
                    <w:left w:val="nil"/>
                    <w:bottom w:val="single" w:color="8064A2" w:themeColor="accent4" w:sz="8" w:space="0"/>
                    <w:right w:val="nil"/>
                  </w:tcBorders>
                </w:tcPr>
                <w:p>
                  <w:pPr>
                    <w:autoSpaceDE w:val="0"/>
                    <w:autoSpaceDN w:val="0"/>
                    <w:rPr>
                      <w:rFonts w:ascii="宋体" w:hAnsi="宋体"/>
                      <w:b/>
                      <w:bCs/>
                      <w:color w:val="000000"/>
                    </w:rPr>
                  </w:pPr>
                </w:p>
              </w:tc>
              <w:tc>
                <w:tcPr>
                  <w:tcW w:w="1581" w:type="dxa"/>
                  <w:tcBorders>
                    <w:top w:val="single" w:color="8064A2" w:themeColor="accent4" w:sz="8" w:space="0"/>
                    <w:left w:val="nil"/>
                    <w:bottom w:val="single" w:color="8064A2" w:themeColor="accent4" w:sz="8" w:space="0"/>
                    <w:right w:val="nil"/>
                  </w:tcBorders>
                </w:tcPr>
                <w:p>
                  <w:pPr>
                    <w:autoSpaceDE w:val="0"/>
                    <w:autoSpaceDN w:val="0"/>
                    <w:rPr>
                      <w:rFonts w:ascii="宋体" w:hAnsi="宋体"/>
                      <w:b/>
                      <w:bCs/>
                      <w:color w:val="000000"/>
                    </w:rPr>
                  </w:pP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购买价格</w:t>
                  </w:r>
                </w:p>
              </w:tc>
              <w:tc>
                <w:tcPr>
                  <w:tcW w:w="1774"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100,000.00</w:t>
                  </w:r>
                </w:p>
              </w:tc>
              <w:tc>
                <w:tcPr>
                  <w:tcW w:w="163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设备产能</w:t>
                  </w:r>
                </w:p>
              </w:tc>
              <w:tc>
                <w:tcPr>
                  <w:tcW w:w="158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4</w:t>
                  </w:r>
                  <w:r>
                    <w:rPr>
                      <w:rFonts w:hint="eastAsia" w:ascii="宋体" w:hAnsi="宋体"/>
                      <w:b/>
                      <w:bCs/>
                      <w:color w:val="000000"/>
                    </w:rPr>
                    <w:t>00</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成品率</w:t>
                  </w:r>
                </w:p>
              </w:tc>
              <w:tc>
                <w:tcPr>
                  <w:tcW w:w="1774" w:type="dxa"/>
                </w:tcPr>
                <w:p>
                  <w:pPr>
                    <w:autoSpaceDE w:val="0"/>
                    <w:autoSpaceDN w:val="0"/>
                    <w:rPr>
                      <w:rFonts w:ascii="宋体" w:hAnsi="宋体"/>
                      <w:b/>
                      <w:bCs/>
                      <w:color w:val="000000"/>
                    </w:rPr>
                  </w:pPr>
                  <w:r>
                    <w:rPr>
                      <w:rFonts w:ascii="宋体" w:hAnsi="宋体"/>
                      <w:b/>
                      <w:bCs/>
                      <w:color w:val="000000"/>
                    </w:rPr>
                    <w:t>85.00%</w:t>
                  </w:r>
                </w:p>
              </w:tc>
              <w:tc>
                <w:tcPr>
                  <w:tcW w:w="1631" w:type="dxa"/>
                </w:tcPr>
                <w:p>
                  <w:pPr>
                    <w:autoSpaceDE w:val="0"/>
                    <w:autoSpaceDN w:val="0"/>
                    <w:rPr>
                      <w:rFonts w:ascii="宋体" w:hAnsi="宋体"/>
                      <w:b/>
                      <w:bCs/>
                      <w:color w:val="000000"/>
                    </w:rPr>
                  </w:pPr>
                  <w:r>
                    <w:rPr>
                      <w:rFonts w:ascii="宋体" w:hAnsi="宋体"/>
                      <w:b/>
                      <w:bCs/>
                      <w:color w:val="000000"/>
                    </w:rPr>
                    <w:t>混合投料</w:t>
                  </w:r>
                </w:p>
              </w:tc>
              <w:tc>
                <w:tcPr>
                  <w:tcW w:w="1581" w:type="dxa"/>
                </w:tcPr>
                <w:p>
                  <w:pPr>
                    <w:autoSpaceDE w:val="0"/>
                    <w:autoSpaceDN w:val="0"/>
                    <w:rPr>
                      <w:rFonts w:ascii="宋体" w:hAnsi="宋体"/>
                      <w:b/>
                      <w:bCs/>
                      <w:color w:val="000000"/>
                    </w:rPr>
                  </w:pPr>
                  <w:r>
                    <w:rPr>
                      <w:rFonts w:ascii="宋体" w:hAnsi="宋体"/>
                      <w:b/>
                      <w:bCs/>
                      <w:color w:val="000000"/>
                    </w:rPr>
                    <w:t>是</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安装周期</w:t>
                  </w:r>
                </w:p>
              </w:tc>
              <w:tc>
                <w:tcPr>
                  <w:tcW w:w="1774"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1</w:t>
                  </w:r>
                </w:p>
              </w:tc>
              <w:tc>
                <w:tcPr>
                  <w:tcW w:w="163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生产周期</w:t>
                  </w:r>
                </w:p>
              </w:tc>
              <w:tc>
                <w:tcPr>
                  <w:tcW w:w="158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0</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单件加工费</w:t>
                  </w:r>
                </w:p>
              </w:tc>
              <w:tc>
                <w:tcPr>
                  <w:tcW w:w="1774" w:type="dxa"/>
                </w:tcPr>
                <w:p>
                  <w:pPr>
                    <w:autoSpaceDE w:val="0"/>
                    <w:autoSpaceDN w:val="0"/>
                    <w:rPr>
                      <w:rFonts w:ascii="宋体" w:hAnsi="宋体"/>
                      <w:b/>
                      <w:bCs/>
                      <w:color w:val="000000"/>
                    </w:rPr>
                  </w:pPr>
                  <w:r>
                    <w:rPr>
                      <w:rFonts w:ascii="宋体" w:hAnsi="宋体"/>
                      <w:b/>
                      <w:bCs/>
                      <w:color w:val="000000"/>
                    </w:rPr>
                    <w:t>20.00</w:t>
                  </w:r>
                </w:p>
              </w:tc>
              <w:tc>
                <w:tcPr>
                  <w:tcW w:w="1631" w:type="dxa"/>
                </w:tcPr>
                <w:p>
                  <w:pPr>
                    <w:autoSpaceDE w:val="0"/>
                    <w:autoSpaceDN w:val="0"/>
                    <w:rPr>
                      <w:rFonts w:ascii="宋体" w:hAnsi="宋体"/>
                      <w:b/>
                      <w:bCs/>
                      <w:color w:val="000000"/>
                    </w:rPr>
                  </w:pPr>
                  <w:r>
                    <w:rPr>
                      <w:rFonts w:ascii="宋体" w:hAnsi="宋体"/>
                      <w:b/>
                      <w:bCs/>
                      <w:color w:val="000000"/>
                    </w:rPr>
                    <w:t>工人上限</w:t>
                  </w:r>
                </w:p>
              </w:tc>
              <w:tc>
                <w:tcPr>
                  <w:tcW w:w="1581" w:type="dxa"/>
                </w:tcPr>
                <w:p>
                  <w:pPr>
                    <w:autoSpaceDE w:val="0"/>
                    <w:autoSpaceDN w:val="0"/>
                    <w:rPr>
                      <w:rFonts w:ascii="宋体" w:hAnsi="宋体"/>
                      <w:b/>
                      <w:bCs/>
                      <w:color w:val="000000"/>
                    </w:rPr>
                  </w:pPr>
                  <w:r>
                    <w:rPr>
                      <w:rFonts w:ascii="宋体" w:hAnsi="宋体"/>
                      <w:b/>
                      <w:bCs/>
                      <w:color w:val="000000"/>
                    </w:rPr>
                    <w:t>4</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维护费用</w:t>
                  </w:r>
                </w:p>
              </w:tc>
              <w:tc>
                <w:tcPr>
                  <w:tcW w:w="1774" w:type="dxa"/>
                  <w:tcBorders>
                    <w:left w:val="nil"/>
                    <w:right w:val="nil"/>
                  </w:tcBorders>
                  <w:shd w:val="clear" w:color="auto" w:fill="DFD8E8" w:themeFill="accent4" w:themeFillTint="3F"/>
                </w:tcPr>
                <w:p>
                  <w:pPr>
                    <w:autoSpaceDE w:val="0"/>
                    <w:autoSpaceDN w:val="0"/>
                    <w:rPr>
                      <w:rFonts w:ascii="宋体" w:hAnsi="宋体"/>
                      <w:b/>
                      <w:bCs/>
                      <w:color w:val="000000"/>
                    </w:rPr>
                  </w:pPr>
                  <w:r>
                    <w:rPr>
                      <w:rFonts w:hint="eastAsia" w:ascii="宋体" w:hAnsi="宋体"/>
                      <w:b/>
                      <w:bCs/>
                      <w:color w:val="000000"/>
                    </w:rPr>
                    <w:t>2</w:t>
                  </w:r>
                  <w:r>
                    <w:rPr>
                      <w:rFonts w:ascii="宋体" w:hAnsi="宋体"/>
                      <w:b/>
                      <w:bCs/>
                      <w:color w:val="000000"/>
                    </w:rPr>
                    <w:t>,</w:t>
                  </w:r>
                  <w:r>
                    <w:rPr>
                      <w:rFonts w:hint="eastAsia" w:ascii="宋体" w:hAnsi="宋体"/>
                      <w:b/>
                      <w:bCs/>
                      <w:color w:val="000000"/>
                    </w:rPr>
                    <w:t>5</w:t>
                  </w:r>
                  <w:r>
                    <w:rPr>
                      <w:rFonts w:ascii="宋体" w:hAnsi="宋体"/>
                      <w:b/>
                      <w:bCs/>
                      <w:color w:val="000000"/>
                    </w:rPr>
                    <w:t>00.00</w:t>
                  </w:r>
                </w:p>
              </w:tc>
              <w:tc>
                <w:tcPr>
                  <w:tcW w:w="163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升级费用</w:t>
                  </w:r>
                </w:p>
              </w:tc>
              <w:tc>
                <w:tcPr>
                  <w:tcW w:w="158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1,000.00</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升级周期</w:t>
                  </w:r>
                </w:p>
              </w:tc>
              <w:tc>
                <w:tcPr>
                  <w:tcW w:w="1774" w:type="dxa"/>
                </w:tcPr>
                <w:p>
                  <w:pPr>
                    <w:autoSpaceDE w:val="0"/>
                    <w:autoSpaceDN w:val="0"/>
                    <w:rPr>
                      <w:rFonts w:ascii="宋体" w:hAnsi="宋体"/>
                      <w:b/>
                      <w:bCs/>
                      <w:color w:val="000000"/>
                    </w:rPr>
                  </w:pPr>
                  <w:r>
                    <w:rPr>
                      <w:rFonts w:ascii="宋体" w:hAnsi="宋体"/>
                      <w:b/>
                      <w:bCs/>
                      <w:color w:val="000000"/>
                    </w:rPr>
                    <w:t>1</w:t>
                  </w:r>
                </w:p>
              </w:tc>
              <w:tc>
                <w:tcPr>
                  <w:tcW w:w="1631" w:type="dxa"/>
                </w:tcPr>
                <w:p>
                  <w:pPr>
                    <w:autoSpaceDE w:val="0"/>
                    <w:autoSpaceDN w:val="0"/>
                    <w:rPr>
                      <w:rFonts w:ascii="宋体" w:hAnsi="宋体"/>
                      <w:b/>
                      <w:bCs/>
                      <w:color w:val="000000"/>
                    </w:rPr>
                  </w:pPr>
                  <w:r>
                    <w:rPr>
                      <w:rFonts w:ascii="宋体" w:hAnsi="宋体"/>
                      <w:b/>
                      <w:bCs/>
                      <w:color w:val="000000"/>
                    </w:rPr>
                    <w:t>升级提升</w:t>
                  </w:r>
                </w:p>
              </w:tc>
              <w:tc>
                <w:tcPr>
                  <w:tcW w:w="1581" w:type="dxa"/>
                </w:tcPr>
                <w:p>
                  <w:pPr>
                    <w:autoSpaceDE w:val="0"/>
                    <w:autoSpaceDN w:val="0"/>
                    <w:rPr>
                      <w:rFonts w:ascii="宋体" w:hAnsi="宋体"/>
                      <w:b/>
                      <w:bCs/>
                      <w:color w:val="000000"/>
                    </w:rPr>
                  </w:pPr>
                  <w:r>
                    <w:rPr>
                      <w:rFonts w:hint="eastAsia" w:ascii="宋体" w:hAnsi="宋体"/>
                      <w:b/>
                      <w:bCs/>
                      <w:color w:val="000000"/>
                    </w:rPr>
                    <w:t>2</w:t>
                  </w:r>
                  <w:r>
                    <w:rPr>
                      <w:rFonts w:ascii="宋体" w:hAnsi="宋体"/>
                      <w:b/>
                      <w:bCs/>
                      <w:color w:val="000000"/>
                    </w:rPr>
                    <w:t>.00%</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搬迁周期</w:t>
                  </w:r>
                </w:p>
              </w:tc>
              <w:tc>
                <w:tcPr>
                  <w:tcW w:w="1774" w:type="dxa"/>
                  <w:tcBorders>
                    <w:left w:val="nil"/>
                    <w:right w:val="nil"/>
                  </w:tcBorders>
                  <w:shd w:val="clear" w:color="auto" w:fill="DFD8E8" w:themeFill="accent4" w:themeFillTint="3F"/>
                </w:tcPr>
                <w:p>
                  <w:pPr>
                    <w:autoSpaceDE w:val="0"/>
                    <w:autoSpaceDN w:val="0"/>
                    <w:rPr>
                      <w:rFonts w:ascii="宋体" w:hAnsi="宋体"/>
                      <w:b/>
                      <w:bCs/>
                      <w:color w:val="000000"/>
                    </w:rPr>
                  </w:pPr>
                  <w:r>
                    <w:rPr>
                      <w:rFonts w:hint="eastAsia" w:ascii="宋体" w:hAnsi="宋体"/>
                      <w:b/>
                      <w:bCs/>
                      <w:color w:val="000000"/>
                    </w:rPr>
                    <w:t>1</w:t>
                  </w:r>
                </w:p>
              </w:tc>
              <w:tc>
                <w:tcPr>
                  <w:tcW w:w="163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搬迁费用</w:t>
                  </w:r>
                </w:p>
              </w:tc>
              <w:tc>
                <w:tcPr>
                  <w:tcW w:w="1581" w:type="dxa"/>
                  <w:tcBorders>
                    <w:left w:val="nil"/>
                    <w:right w:val="nil"/>
                  </w:tcBorders>
                  <w:shd w:val="clear" w:color="auto" w:fill="DFD8E8" w:themeFill="accent4" w:themeFillTint="3F"/>
                </w:tcPr>
                <w:p>
                  <w:pPr>
                    <w:autoSpaceDE w:val="0"/>
                    <w:autoSpaceDN w:val="0"/>
                    <w:rPr>
                      <w:rFonts w:ascii="宋体" w:hAnsi="宋体"/>
                      <w:b/>
                      <w:bCs/>
                      <w:color w:val="000000"/>
                    </w:rPr>
                  </w:pPr>
                  <w:r>
                    <w:rPr>
                      <w:rFonts w:ascii="宋体" w:hAnsi="宋体"/>
                      <w:b/>
                      <w:bCs/>
                      <w:color w:val="000000"/>
                    </w:rPr>
                    <w:t>3,000.00</w:t>
                  </w:r>
                </w:p>
              </w:tc>
            </w:tr>
          </w:tbl>
          <w:p>
            <w:pPr>
              <w:autoSpaceDE w:val="0"/>
              <w:autoSpaceDN w:val="0"/>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53" w:type="dxa"/>
          </w:tcPr>
          <w:p>
            <w:pPr>
              <w:autoSpaceDE w:val="0"/>
              <w:autoSpaceDN w:val="0"/>
              <w:rPr>
                <w:rFonts w:ascii="宋体" w:hAnsi="宋体"/>
                <w:b/>
                <w:bCs/>
                <w:color w:val="000000"/>
              </w:rPr>
            </w:pPr>
            <w:r>
              <w:rPr>
                <w:rFonts w:ascii="宋体" w:hAnsi="宋体"/>
                <w:b/>
                <w:bCs/>
                <w:color w:val="000000"/>
              </w:rPr>
              <w:drawing>
                <wp:inline distT="0" distB="0" distL="0" distR="0">
                  <wp:extent cx="1621790" cy="1087120"/>
                  <wp:effectExtent l="19050" t="0" r="0" b="0"/>
                  <wp:docPr id="7" name="图片框 1043" descr="http://127.0.0.1:8082/BSTCS/image/sc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43" descr="http://127.0.0.1:8082/BSTCS/image/scx3.jpg"/>
                          <pic:cNvPicPr>
                            <a:picLocks noChangeAspect="1" noChangeArrowheads="1"/>
                          </pic:cNvPicPr>
                        </pic:nvPicPr>
                        <pic:blipFill>
                          <a:blip r:embed="rId12"/>
                          <a:srcRect/>
                          <a:stretch>
                            <a:fillRect/>
                          </a:stretch>
                        </pic:blipFill>
                        <pic:spPr>
                          <a:xfrm>
                            <a:off x="0" y="0"/>
                            <a:ext cx="1621790" cy="1087120"/>
                          </a:xfrm>
                          <a:prstGeom prst="rect">
                            <a:avLst/>
                          </a:prstGeom>
                          <a:noFill/>
                          <a:ln w="9525">
                            <a:noFill/>
                            <a:miter lim="800000"/>
                            <a:headEnd/>
                            <a:tailEnd/>
                          </a:ln>
                        </pic:spPr>
                      </pic:pic>
                    </a:graphicData>
                  </a:graphic>
                </wp:inline>
              </w:drawing>
            </w:r>
          </w:p>
        </w:tc>
        <w:tc>
          <w:tcPr>
            <w:tcW w:w="7198" w:type="dxa"/>
          </w:tcPr>
          <w:tbl>
            <w:tblPr>
              <w:tblStyle w:val="10"/>
              <w:tblW w:w="7069" w:type="dxa"/>
              <w:tblInd w:w="0" w:type="dxa"/>
              <w:tblBorders>
                <w:top w:val="single" w:color="9BBB59" w:sz="8" w:space="0"/>
                <w:left w:val="none" w:color="auto" w:sz="0" w:space="0"/>
                <w:bottom w:val="single" w:color="9BBB59"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3"/>
              <w:gridCol w:w="1792"/>
              <w:gridCol w:w="1647"/>
              <w:gridCol w:w="1597"/>
            </w:tblGrid>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r>
                    <w:rPr>
                      <w:rFonts w:ascii="宋体" w:hAnsi="宋体"/>
                      <w:b/>
                      <w:bCs/>
                      <w:color w:val="000000"/>
                    </w:rPr>
                    <w:t>设备名称</w:t>
                  </w:r>
                </w:p>
              </w:tc>
              <w:tc>
                <w:tcPr>
                  <w:tcW w:w="1774"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r>
                    <w:rPr>
                      <w:rFonts w:hint="eastAsia" w:ascii="宋体" w:hAnsi="宋体"/>
                      <w:b/>
                      <w:bCs/>
                      <w:color w:val="000000"/>
                    </w:rPr>
                    <w:t>半自动</w:t>
                  </w:r>
                  <w:r>
                    <w:rPr>
                      <w:rFonts w:ascii="宋体" w:hAnsi="宋体"/>
                      <w:b/>
                      <w:bCs/>
                      <w:color w:val="000000"/>
                    </w:rPr>
                    <w:t>线</w:t>
                  </w:r>
                </w:p>
              </w:tc>
              <w:tc>
                <w:tcPr>
                  <w:tcW w:w="1631"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p>
              </w:tc>
              <w:tc>
                <w:tcPr>
                  <w:tcW w:w="1581"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购买价格</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70,000.00</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设备产能</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300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成品率</w:t>
                  </w:r>
                </w:p>
              </w:tc>
              <w:tc>
                <w:tcPr>
                  <w:tcW w:w="1774" w:type="dxa"/>
                </w:tcPr>
                <w:p>
                  <w:pPr>
                    <w:autoSpaceDE w:val="0"/>
                    <w:autoSpaceDN w:val="0"/>
                    <w:rPr>
                      <w:rFonts w:ascii="宋体" w:hAnsi="宋体"/>
                      <w:b/>
                      <w:bCs/>
                      <w:color w:val="000000"/>
                    </w:rPr>
                  </w:pPr>
                  <w:r>
                    <w:rPr>
                      <w:rFonts w:ascii="宋体" w:hAnsi="宋体"/>
                      <w:b/>
                      <w:bCs/>
                      <w:color w:val="000000"/>
                    </w:rPr>
                    <w:t>8</w:t>
                  </w:r>
                  <w:r>
                    <w:rPr>
                      <w:rFonts w:hint="eastAsia" w:ascii="宋体" w:hAnsi="宋体"/>
                      <w:b/>
                      <w:bCs/>
                      <w:color w:val="000000"/>
                    </w:rPr>
                    <w:t>0</w:t>
                  </w:r>
                  <w:r>
                    <w:rPr>
                      <w:rFonts w:ascii="宋体" w:hAnsi="宋体"/>
                      <w:b/>
                      <w:bCs/>
                      <w:color w:val="000000"/>
                    </w:rPr>
                    <w:t>.00%</w:t>
                  </w:r>
                </w:p>
              </w:tc>
              <w:tc>
                <w:tcPr>
                  <w:tcW w:w="1631" w:type="dxa"/>
                </w:tcPr>
                <w:p>
                  <w:pPr>
                    <w:autoSpaceDE w:val="0"/>
                    <w:autoSpaceDN w:val="0"/>
                    <w:rPr>
                      <w:rFonts w:ascii="宋体" w:hAnsi="宋体"/>
                      <w:b/>
                      <w:bCs/>
                      <w:color w:val="000000"/>
                    </w:rPr>
                  </w:pPr>
                  <w:r>
                    <w:rPr>
                      <w:rFonts w:ascii="宋体" w:hAnsi="宋体"/>
                      <w:b/>
                      <w:bCs/>
                      <w:color w:val="000000"/>
                    </w:rPr>
                    <w:t>混合投料</w:t>
                  </w:r>
                </w:p>
              </w:tc>
              <w:tc>
                <w:tcPr>
                  <w:tcW w:w="1581" w:type="dxa"/>
                </w:tcPr>
                <w:p>
                  <w:pPr>
                    <w:autoSpaceDE w:val="0"/>
                    <w:autoSpaceDN w:val="0"/>
                    <w:rPr>
                      <w:rFonts w:ascii="宋体" w:hAnsi="宋体"/>
                      <w:b/>
                      <w:bCs/>
                      <w:color w:val="000000"/>
                    </w:rPr>
                  </w:pPr>
                  <w:r>
                    <w:rPr>
                      <w:rFonts w:ascii="宋体" w:hAnsi="宋体"/>
                      <w:b/>
                      <w:bCs/>
                      <w:color w:val="000000"/>
                    </w:rPr>
                    <w:t>否</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安装周期</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1</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生产周期</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单件加工费</w:t>
                  </w:r>
                </w:p>
              </w:tc>
              <w:tc>
                <w:tcPr>
                  <w:tcW w:w="1774" w:type="dxa"/>
                </w:tcPr>
                <w:p>
                  <w:pPr>
                    <w:autoSpaceDE w:val="0"/>
                    <w:autoSpaceDN w:val="0"/>
                    <w:rPr>
                      <w:rFonts w:ascii="宋体" w:hAnsi="宋体"/>
                      <w:b/>
                      <w:bCs/>
                      <w:color w:val="000000"/>
                    </w:rPr>
                  </w:pPr>
                  <w:r>
                    <w:rPr>
                      <w:rFonts w:ascii="宋体" w:hAnsi="宋体"/>
                      <w:b/>
                      <w:bCs/>
                      <w:color w:val="000000"/>
                    </w:rPr>
                    <w:t>25.00</w:t>
                  </w:r>
                </w:p>
              </w:tc>
              <w:tc>
                <w:tcPr>
                  <w:tcW w:w="1631" w:type="dxa"/>
                </w:tcPr>
                <w:p>
                  <w:pPr>
                    <w:autoSpaceDE w:val="0"/>
                    <w:autoSpaceDN w:val="0"/>
                    <w:rPr>
                      <w:rFonts w:ascii="宋体" w:hAnsi="宋体"/>
                      <w:b/>
                      <w:bCs/>
                      <w:color w:val="000000"/>
                    </w:rPr>
                  </w:pPr>
                  <w:r>
                    <w:rPr>
                      <w:rFonts w:ascii="宋体" w:hAnsi="宋体"/>
                      <w:b/>
                      <w:bCs/>
                      <w:color w:val="000000"/>
                    </w:rPr>
                    <w:t>工人上限</w:t>
                  </w:r>
                </w:p>
              </w:tc>
              <w:tc>
                <w:tcPr>
                  <w:tcW w:w="1581" w:type="dxa"/>
                </w:tcPr>
                <w:p>
                  <w:pPr>
                    <w:autoSpaceDE w:val="0"/>
                    <w:autoSpaceDN w:val="0"/>
                    <w:rPr>
                      <w:rFonts w:ascii="宋体" w:hAnsi="宋体"/>
                      <w:b/>
                      <w:bCs/>
                      <w:color w:val="000000"/>
                    </w:rPr>
                  </w:pPr>
                  <w:r>
                    <w:rPr>
                      <w:rFonts w:hint="eastAsia" w:ascii="宋体" w:hAnsi="宋体"/>
                      <w:b/>
                      <w:bCs/>
                      <w:color w:val="000000"/>
                    </w:rPr>
                    <w:t>3</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维护费用</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hint="eastAsia" w:ascii="宋体" w:hAnsi="宋体"/>
                      <w:b/>
                      <w:bCs/>
                      <w:color w:val="000000"/>
                    </w:rPr>
                    <w:t>2</w:t>
                  </w:r>
                  <w:r>
                    <w:rPr>
                      <w:rFonts w:ascii="宋体" w:hAnsi="宋体"/>
                      <w:b/>
                      <w:bCs/>
                      <w:color w:val="000000"/>
                    </w:rPr>
                    <w:t>,</w:t>
                  </w:r>
                  <w:r>
                    <w:rPr>
                      <w:rFonts w:hint="eastAsia" w:ascii="宋体" w:hAnsi="宋体"/>
                      <w:b/>
                      <w:bCs/>
                      <w:color w:val="000000"/>
                    </w:rPr>
                    <w:t>0</w:t>
                  </w:r>
                  <w:r>
                    <w:rPr>
                      <w:rFonts w:ascii="宋体" w:hAnsi="宋体"/>
                      <w:b/>
                      <w:bCs/>
                      <w:color w:val="000000"/>
                    </w:rPr>
                    <w:t>00.00</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升级费用</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1,000.00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升级周期</w:t>
                  </w:r>
                </w:p>
              </w:tc>
              <w:tc>
                <w:tcPr>
                  <w:tcW w:w="1774" w:type="dxa"/>
                </w:tcPr>
                <w:p>
                  <w:pPr>
                    <w:autoSpaceDE w:val="0"/>
                    <w:autoSpaceDN w:val="0"/>
                    <w:rPr>
                      <w:rFonts w:ascii="宋体" w:hAnsi="宋体"/>
                      <w:b/>
                      <w:bCs/>
                      <w:color w:val="000000"/>
                    </w:rPr>
                  </w:pPr>
                  <w:r>
                    <w:rPr>
                      <w:rFonts w:ascii="宋体" w:hAnsi="宋体"/>
                      <w:b/>
                      <w:bCs/>
                      <w:color w:val="000000"/>
                    </w:rPr>
                    <w:t>1</w:t>
                  </w:r>
                </w:p>
              </w:tc>
              <w:tc>
                <w:tcPr>
                  <w:tcW w:w="1631" w:type="dxa"/>
                </w:tcPr>
                <w:p>
                  <w:pPr>
                    <w:autoSpaceDE w:val="0"/>
                    <w:autoSpaceDN w:val="0"/>
                    <w:rPr>
                      <w:rFonts w:ascii="宋体" w:hAnsi="宋体"/>
                      <w:b/>
                      <w:bCs/>
                      <w:color w:val="000000"/>
                    </w:rPr>
                  </w:pPr>
                  <w:r>
                    <w:rPr>
                      <w:rFonts w:ascii="宋体" w:hAnsi="宋体"/>
                      <w:b/>
                      <w:bCs/>
                      <w:color w:val="000000"/>
                    </w:rPr>
                    <w:t>升级提升</w:t>
                  </w:r>
                </w:p>
              </w:tc>
              <w:tc>
                <w:tcPr>
                  <w:tcW w:w="1581" w:type="dxa"/>
                </w:tcPr>
                <w:p>
                  <w:pPr>
                    <w:autoSpaceDE w:val="0"/>
                    <w:autoSpaceDN w:val="0"/>
                    <w:rPr>
                      <w:rFonts w:ascii="宋体" w:hAnsi="宋体"/>
                      <w:b/>
                      <w:bCs/>
                      <w:color w:val="000000"/>
                    </w:rPr>
                  </w:pPr>
                  <w:r>
                    <w:rPr>
                      <w:rFonts w:hint="eastAsia" w:ascii="宋体" w:hAnsi="宋体"/>
                      <w:b/>
                      <w:bCs/>
                      <w:color w:val="000000"/>
                    </w:rPr>
                    <w:t>3</w:t>
                  </w:r>
                  <w:r>
                    <w:rPr>
                      <w:rFonts w:ascii="宋体" w:hAnsi="宋体"/>
                      <w:b/>
                      <w:bCs/>
                      <w:color w:val="000000"/>
                    </w:rPr>
                    <w:t>.00%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搬迁周期</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0</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搬迁费用</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2,000.00</w:t>
                  </w:r>
                </w:p>
              </w:tc>
            </w:tr>
          </w:tbl>
          <w:p>
            <w:pPr>
              <w:autoSpaceDE w:val="0"/>
              <w:autoSpaceDN w:val="0"/>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53" w:type="dxa"/>
          </w:tcPr>
          <w:p>
            <w:pPr>
              <w:autoSpaceDE w:val="0"/>
              <w:autoSpaceDN w:val="0"/>
              <w:rPr>
                <w:rFonts w:ascii="宋体" w:hAnsi="宋体"/>
                <w:b/>
                <w:bCs/>
                <w:color w:val="000000"/>
              </w:rPr>
            </w:pPr>
            <w:r>
              <w:rPr>
                <w:rFonts w:ascii="宋体" w:hAnsi="宋体"/>
                <w:b/>
                <w:bCs/>
                <w:color w:val="000000"/>
              </w:rPr>
              <w:drawing>
                <wp:inline distT="0" distB="0" distL="0" distR="0">
                  <wp:extent cx="1621790" cy="1087120"/>
                  <wp:effectExtent l="19050" t="0" r="0" b="0"/>
                  <wp:docPr id="10" name="图片框 1043" descr="http://127.0.0.1:8082/BSTCS/image/sc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框 1043" descr="http://127.0.0.1:8082/BSTCS/image/scx3.jpg"/>
                          <pic:cNvPicPr>
                            <a:picLocks noChangeAspect="1" noChangeArrowheads="1"/>
                          </pic:cNvPicPr>
                        </pic:nvPicPr>
                        <pic:blipFill>
                          <a:blip r:embed="rId12"/>
                          <a:srcRect/>
                          <a:stretch>
                            <a:fillRect/>
                          </a:stretch>
                        </pic:blipFill>
                        <pic:spPr>
                          <a:xfrm>
                            <a:off x="0" y="0"/>
                            <a:ext cx="1621790" cy="1087120"/>
                          </a:xfrm>
                          <a:prstGeom prst="rect">
                            <a:avLst/>
                          </a:prstGeom>
                          <a:noFill/>
                          <a:ln w="9525">
                            <a:noFill/>
                            <a:miter lim="800000"/>
                            <a:headEnd/>
                            <a:tailEnd/>
                          </a:ln>
                        </pic:spPr>
                      </pic:pic>
                    </a:graphicData>
                  </a:graphic>
                </wp:inline>
              </w:drawing>
            </w:r>
          </w:p>
        </w:tc>
        <w:tc>
          <w:tcPr>
            <w:tcW w:w="7198" w:type="dxa"/>
          </w:tcPr>
          <w:tbl>
            <w:tblPr>
              <w:tblStyle w:val="10"/>
              <w:tblW w:w="7069" w:type="dxa"/>
              <w:tblInd w:w="0" w:type="dxa"/>
              <w:tblBorders>
                <w:top w:val="single" w:color="9BBB59" w:sz="8" w:space="0"/>
                <w:left w:val="none" w:color="auto" w:sz="0" w:space="0"/>
                <w:bottom w:val="single" w:color="9BBB59"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3"/>
              <w:gridCol w:w="1792"/>
              <w:gridCol w:w="1647"/>
              <w:gridCol w:w="1597"/>
            </w:tblGrid>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r>
                    <w:rPr>
                      <w:rFonts w:ascii="宋体" w:hAnsi="宋体"/>
                      <w:b/>
                      <w:bCs/>
                      <w:color w:val="000000"/>
                    </w:rPr>
                    <w:t>设备名称</w:t>
                  </w:r>
                </w:p>
              </w:tc>
              <w:tc>
                <w:tcPr>
                  <w:tcW w:w="1774"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r>
                    <w:rPr>
                      <w:rFonts w:ascii="宋体" w:hAnsi="宋体"/>
                      <w:b/>
                      <w:bCs/>
                      <w:color w:val="000000"/>
                    </w:rPr>
                    <w:t>手工线</w:t>
                  </w:r>
                </w:p>
              </w:tc>
              <w:tc>
                <w:tcPr>
                  <w:tcW w:w="1631"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p>
              </w:tc>
              <w:tc>
                <w:tcPr>
                  <w:tcW w:w="1581" w:type="dxa"/>
                  <w:tcBorders>
                    <w:top w:val="single" w:color="9BBB59" w:themeColor="accent3" w:sz="8" w:space="0"/>
                    <w:left w:val="nil"/>
                    <w:bottom w:val="single" w:color="9BBB59" w:themeColor="accent3" w:sz="8" w:space="0"/>
                    <w:right w:val="nil"/>
                  </w:tcBorders>
                </w:tcPr>
                <w:p>
                  <w:pPr>
                    <w:autoSpaceDE w:val="0"/>
                    <w:autoSpaceDN w:val="0"/>
                    <w:rPr>
                      <w:rFonts w:ascii="宋体" w:hAnsi="宋体"/>
                      <w:b/>
                      <w:bCs/>
                      <w:color w:val="000000"/>
                    </w:rPr>
                  </w:pP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购买价格</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50,000.00</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设备产能</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200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成品率</w:t>
                  </w:r>
                </w:p>
              </w:tc>
              <w:tc>
                <w:tcPr>
                  <w:tcW w:w="1774" w:type="dxa"/>
                </w:tcPr>
                <w:p>
                  <w:pPr>
                    <w:autoSpaceDE w:val="0"/>
                    <w:autoSpaceDN w:val="0"/>
                    <w:rPr>
                      <w:rFonts w:ascii="宋体" w:hAnsi="宋体"/>
                      <w:b/>
                      <w:bCs/>
                      <w:color w:val="000000"/>
                    </w:rPr>
                  </w:pPr>
                  <w:r>
                    <w:rPr>
                      <w:rFonts w:hint="eastAsia" w:ascii="宋体" w:hAnsi="宋体"/>
                      <w:b/>
                      <w:bCs/>
                      <w:color w:val="000000"/>
                    </w:rPr>
                    <w:t>7</w:t>
                  </w:r>
                  <w:r>
                    <w:rPr>
                      <w:rFonts w:ascii="宋体" w:hAnsi="宋体"/>
                      <w:b/>
                      <w:bCs/>
                      <w:color w:val="000000"/>
                    </w:rPr>
                    <w:t>5.00%</w:t>
                  </w:r>
                </w:p>
              </w:tc>
              <w:tc>
                <w:tcPr>
                  <w:tcW w:w="1631" w:type="dxa"/>
                </w:tcPr>
                <w:p>
                  <w:pPr>
                    <w:autoSpaceDE w:val="0"/>
                    <w:autoSpaceDN w:val="0"/>
                    <w:rPr>
                      <w:rFonts w:ascii="宋体" w:hAnsi="宋体"/>
                      <w:b/>
                      <w:bCs/>
                      <w:color w:val="000000"/>
                    </w:rPr>
                  </w:pPr>
                  <w:r>
                    <w:rPr>
                      <w:rFonts w:ascii="宋体" w:hAnsi="宋体"/>
                      <w:b/>
                      <w:bCs/>
                      <w:color w:val="000000"/>
                    </w:rPr>
                    <w:t>混合投料</w:t>
                  </w:r>
                </w:p>
              </w:tc>
              <w:tc>
                <w:tcPr>
                  <w:tcW w:w="1581" w:type="dxa"/>
                </w:tcPr>
                <w:p>
                  <w:pPr>
                    <w:autoSpaceDE w:val="0"/>
                    <w:autoSpaceDN w:val="0"/>
                    <w:rPr>
                      <w:rFonts w:ascii="宋体" w:hAnsi="宋体"/>
                      <w:b/>
                      <w:bCs/>
                      <w:color w:val="000000"/>
                    </w:rPr>
                  </w:pPr>
                  <w:r>
                    <w:rPr>
                      <w:rFonts w:ascii="宋体" w:hAnsi="宋体"/>
                      <w:b/>
                      <w:bCs/>
                      <w:color w:val="000000"/>
                    </w:rPr>
                    <w:t>否</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安装周期</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0</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生产周期</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单件加工费</w:t>
                  </w:r>
                </w:p>
              </w:tc>
              <w:tc>
                <w:tcPr>
                  <w:tcW w:w="1774" w:type="dxa"/>
                </w:tcPr>
                <w:p>
                  <w:pPr>
                    <w:autoSpaceDE w:val="0"/>
                    <w:autoSpaceDN w:val="0"/>
                    <w:rPr>
                      <w:rFonts w:ascii="宋体" w:hAnsi="宋体"/>
                      <w:b/>
                      <w:bCs/>
                      <w:color w:val="000000"/>
                    </w:rPr>
                  </w:pPr>
                  <w:r>
                    <w:rPr>
                      <w:rFonts w:ascii="宋体" w:hAnsi="宋体"/>
                      <w:b/>
                      <w:bCs/>
                      <w:color w:val="000000"/>
                    </w:rPr>
                    <w:t>30.00</w:t>
                  </w:r>
                </w:p>
              </w:tc>
              <w:tc>
                <w:tcPr>
                  <w:tcW w:w="1631" w:type="dxa"/>
                </w:tcPr>
                <w:p>
                  <w:pPr>
                    <w:autoSpaceDE w:val="0"/>
                    <w:autoSpaceDN w:val="0"/>
                    <w:rPr>
                      <w:rFonts w:ascii="宋体" w:hAnsi="宋体"/>
                      <w:b/>
                      <w:bCs/>
                      <w:color w:val="000000"/>
                    </w:rPr>
                  </w:pPr>
                  <w:r>
                    <w:rPr>
                      <w:rFonts w:ascii="宋体" w:hAnsi="宋体"/>
                      <w:b/>
                      <w:bCs/>
                      <w:color w:val="000000"/>
                    </w:rPr>
                    <w:t>工人上限</w:t>
                  </w:r>
                </w:p>
              </w:tc>
              <w:tc>
                <w:tcPr>
                  <w:tcW w:w="1581" w:type="dxa"/>
                </w:tcPr>
                <w:p>
                  <w:pPr>
                    <w:autoSpaceDE w:val="0"/>
                    <w:autoSpaceDN w:val="0"/>
                    <w:rPr>
                      <w:rFonts w:ascii="宋体" w:hAnsi="宋体"/>
                      <w:b/>
                      <w:bCs/>
                      <w:color w:val="000000"/>
                    </w:rPr>
                  </w:pPr>
                  <w:r>
                    <w:rPr>
                      <w:rFonts w:ascii="宋体" w:hAnsi="宋体"/>
                      <w:b/>
                      <w:bCs/>
                      <w:color w:val="000000"/>
                    </w:rPr>
                    <w:t>2</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维护费用</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1,500.00</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升级费用</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1,000.00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Pr>
                <w:p>
                  <w:pPr>
                    <w:autoSpaceDE w:val="0"/>
                    <w:autoSpaceDN w:val="0"/>
                    <w:rPr>
                      <w:rFonts w:ascii="宋体" w:hAnsi="宋体"/>
                      <w:b/>
                      <w:bCs/>
                      <w:color w:val="000000"/>
                    </w:rPr>
                  </w:pPr>
                  <w:r>
                    <w:rPr>
                      <w:rFonts w:ascii="宋体" w:hAnsi="宋体"/>
                      <w:b/>
                      <w:bCs/>
                      <w:color w:val="000000"/>
                    </w:rPr>
                    <w:t>升级周期</w:t>
                  </w:r>
                </w:p>
              </w:tc>
              <w:tc>
                <w:tcPr>
                  <w:tcW w:w="1774" w:type="dxa"/>
                </w:tcPr>
                <w:p>
                  <w:pPr>
                    <w:autoSpaceDE w:val="0"/>
                    <w:autoSpaceDN w:val="0"/>
                    <w:rPr>
                      <w:rFonts w:ascii="宋体" w:hAnsi="宋体"/>
                      <w:b/>
                      <w:bCs/>
                      <w:color w:val="000000"/>
                    </w:rPr>
                  </w:pPr>
                  <w:r>
                    <w:rPr>
                      <w:rFonts w:ascii="宋体" w:hAnsi="宋体"/>
                      <w:b/>
                      <w:bCs/>
                      <w:color w:val="000000"/>
                    </w:rPr>
                    <w:t>1</w:t>
                  </w:r>
                </w:p>
              </w:tc>
              <w:tc>
                <w:tcPr>
                  <w:tcW w:w="1631" w:type="dxa"/>
                </w:tcPr>
                <w:p>
                  <w:pPr>
                    <w:autoSpaceDE w:val="0"/>
                    <w:autoSpaceDN w:val="0"/>
                    <w:rPr>
                      <w:rFonts w:ascii="宋体" w:hAnsi="宋体"/>
                      <w:b/>
                      <w:bCs/>
                      <w:color w:val="000000"/>
                    </w:rPr>
                  </w:pPr>
                  <w:r>
                    <w:rPr>
                      <w:rFonts w:ascii="宋体" w:hAnsi="宋体"/>
                      <w:b/>
                      <w:bCs/>
                      <w:color w:val="000000"/>
                    </w:rPr>
                    <w:t>升级提升</w:t>
                  </w:r>
                </w:p>
              </w:tc>
              <w:tc>
                <w:tcPr>
                  <w:tcW w:w="1581" w:type="dxa"/>
                </w:tcPr>
                <w:p>
                  <w:pPr>
                    <w:autoSpaceDE w:val="0"/>
                    <w:autoSpaceDN w:val="0"/>
                    <w:rPr>
                      <w:rFonts w:ascii="宋体" w:hAnsi="宋体"/>
                      <w:b/>
                      <w:bCs/>
                      <w:color w:val="000000"/>
                    </w:rPr>
                  </w:pPr>
                  <w:r>
                    <w:rPr>
                      <w:rFonts w:ascii="宋体" w:hAnsi="宋体"/>
                      <w:b/>
                      <w:bCs/>
                      <w:color w:val="000000"/>
                    </w:rPr>
                    <w:t>4.00%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13"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搬迁周期</w:t>
                  </w:r>
                </w:p>
              </w:tc>
              <w:tc>
                <w:tcPr>
                  <w:tcW w:w="1774"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0</w:t>
                  </w:r>
                </w:p>
              </w:tc>
              <w:tc>
                <w:tcPr>
                  <w:tcW w:w="163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搬迁费用</w:t>
                  </w:r>
                </w:p>
              </w:tc>
              <w:tc>
                <w:tcPr>
                  <w:tcW w:w="1581" w:type="dxa"/>
                  <w:tcBorders>
                    <w:left w:val="nil"/>
                    <w:right w:val="nil"/>
                  </w:tcBorders>
                  <w:shd w:val="clear" w:color="auto" w:fill="E6EED5" w:themeFill="accent3" w:themeFillTint="3F"/>
                </w:tcPr>
                <w:p>
                  <w:pPr>
                    <w:autoSpaceDE w:val="0"/>
                    <w:autoSpaceDN w:val="0"/>
                    <w:rPr>
                      <w:rFonts w:ascii="宋体" w:hAnsi="宋体"/>
                      <w:b/>
                      <w:bCs/>
                      <w:color w:val="000000"/>
                    </w:rPr>
                  </w:pPr>
                  <w:r>
                    <w:rPr>
                      <w:rFonts w:ascii="宋体" w:hAnsi="宋体"/>
                      <w:b/>
                      <w:bCs/>
                      <w:color w:val="000000"/>
                    </w:rPr>
                    <w:t>1,000.00</w:t>
                  </w:r>
                </w:p>
              </w:tc>
            </w:tr>
          </w:tbl>
          <w:p>
            <w:pPr>
              <w:autoSpaceDE w:val="0"/>
              <w:autoSpaceDN w:val="0"/>
              <w:rPr>
                <w:rFonts w:ascii="宋体" w:hAnsi="宋体"/>
                <w:b/>
                <w:bCs/>
                <w:color w:val="000000"/>
              </w:rPr>
            </w:pPr>
          </w:p>
        </w:tc>
      </w:tr>
    </w:tbl>
    <w:p>
      <w:pPr>
        <w:autoSpaceDE w:val="0"/>
        <w:autoSpaceDN w:val="0"/>
        <w:rPr>
          <w:rFonts w:ascii="宋体" w:hAnsi="宋体"/>
          <w:color w:val="000000"/>
        </w:rPr>
      </w:pPr>
    </w:p>
    <w:p>
      <w:pPr>
        <w:rPr>
          <w:rFonts w:ascii="宋体" w:hAnsi="宋体"/>
          <w:color w:val="000000"/>
          <w:szCs w:val="21"/>
        </w:rPr>
      </w:pPr>
      <w:r>
        <w:rPr>
          <w:rFonts w:ascii="宋体" w:hAnsi="宋体"/>
          <w:sz w:val="24"/>
        </w:rPr>
        <w:br w:type="textWrapping"/>
      </w:r>
      <w:r>
        <w:rPr>
          <w:rFonts w:ascii="宋体" w:hAnsi="宋体"/>
          <w:color w:val="000000"/>
          <w:szCs w:val="21"/>
        </w:rPr>
        <w:t>3.工人招聘</w:t>
      </w:r>
    </w:p>
    <w:p>
      <w:pPr>
        <w:rPr>
          <w:rFonts w:ascii="宋体" w:hAnsi="宋体"/>
          <w:color w:val="000000"/>
          <w:szCs w:val="21"/>
        </w:rPr>
      </w:pPr>
      <w:r>
        <w:rPr>
          <w:rFonts w:ascii="宋体" w:hAnsi="宋体"/>
          <w:color w:val="000000"/>
          <w:szCs w:val="21"/>
        </w:rPr>
        <w:t xml:space="preserve">公司可以在交易市场的人才市场内招聘到不同能力层次的生产工人。 </w:t>
      </w:r>
      <w:r>
        <w:rPr>
          <w:rFonts w:ascii="宋体" w:hAnsi="宋体"/>
          <w:color w:val="000000"/>
          <w:szCs w:val="21"/>
        </w:rPr>
        <w:br w:type="textWrapping"/>
      </w:r>
      <w:r>
        <w:rPr>
          <w:rFonts w:ascii="宋体" w:hAnsi="宋体"/>
          <w:color w:val="000000"/>
          <w:szCs w:val="21"/>
        </w:rPr>
        <w:t xml:space="preserve">生产能力：工人在一个生产周期内所具有的最大生产能力。 </w:t>
      </w:r>
      <w:r>
        <w:rPr>
          <w:rFonts w:ascii="宋体" w:hAnsi="宋体"/>
          <w:color w:val="000000"/>
          <w:szCs w:val="21"/>
        </w:rPr>
        <w:br w:type="textWrapping"/>
      </w:r>
      <w:r>
        <w:rPr>
          <w:rFonts w:ascii="宋体" w:hAnsi="宋体"/>
          <w:color w:val="000000"/>
          <w:szCs w:val="21"/>
        </w:rPr>
        <w:t xml:space="preserve">招聘费用：招聘一个工人所需花费的招聘费用，该笔费用在招聘时即自动扣除。 </w:t>
      </w:r>
      <w:r>
        <w:rPr>
          <w:rFonts w:ascii="宋体" w:hAnsi="宋体"/>
          <w:color w:val="000000"/>
          <w:szCs w:val="21"/>
        </w:rPr>
        <w:br w:type="textWrapping"/>
      </w:r>
      <w:r>
        <w:rPr>
          <w:rFonts w:ascii="宋体" w:hAnsi="宋体"/>
          <w:color w:val="000000"/>
          <w:szCs w:val="21"/>
        </w:rPr>
        <w:t xml:space="preserve">季度工资：支付给工人的工资，每期期末自动支付。 </w:t>
      </w:r>
      <w:r>
        <w:rPr>
          <w:rFonts w:ascii="宋体" w:hAnsi="宋体"/>
          <w:color w:val="000000"/>
          <w:szCs w:val="21"/>
        </w:rPr>
        <w:br w:type="textWrapping"/>
      </w:r>
      <w:r>
        <w:rPr>
          <w:rFonts w:ascii="宋体" w:hAnsi="宋体"/>
          <w:color w:val="000000"/>
          <w:szCs w:val="21"/>
        </w:rPr>
        <w:t xml:space="preserve">试用期：招聘后试用的时间，人力资源部需在试用期内与工人签订合同，否则将支付罚金。 </w:t>
      </w:r>
      <w:r>
        <w:rPr>
          <w:rFonts w:ascii="宋体" w:hAnsi="宋体"/>
          <w:color w:val="000000"/>
          <w:szCs w:val="21"/>
        </w:rPr>
        <w:br w:type="textWrapping"/>
      </w:r>
      <w:r>
        <w:rPr>
          <w:rFonts w:ascii="宋体" w:hAnsi="宋体"/>
          <w:color w:val="000000"/>
          <w:szCs w:val="21"/>
        </w:rPr>
        <w:t xml:space="preserve">培训费用：每次培训一个工人所需花费的费用，每个工人每个经营周期最多只能做一次培训。工人培训由生产制造部提出，递交到人力资源部后进行实施，培训费用在实施时支付。 </w:t>
      </w:r>
      <w:r>
        <w:rPr>
          <w:rFonts w:ascii="宋体" w:hAnsi="宋体"/>
          <w:color w:val="000000"/>
          <w:szCs w:val="21"/>
        </w:rPr>
        <w:br w:type="textWrapping"/>
      </w:r>
      <w:r>
        <w:rPr>
          <w:rFonts w:ascii="宋体" w:hAnsi="宋体"/>
          <w:color w:val="000000"/>
          <w:szCs w:val="21"/>
        </w:rPr>
        <w:t xml:space="preserve">培训提升：工人完成一次培训后，生产能力将在原有能力的基础上提升的百分比。培训后生产能力＝培训前生产能力x(1+培训提升) </w:t>
      </w:r>
      <w:r>
        <w:rPr>
          <w:rFonts w:ascii="宋体" w:hAnsi="宋体"/>
          <w:color w:val="000000"/>
          <w:szCs w:val="21"/>
        </w:rPr>
        <w:br w:type="textWrapping"/>
      </w:r>
      <w:r>
        <w:rPr>
          <w:rFonts w:ascii="宋体" w:hAnsi="宋体"/>
          <w:color w:val="000000"/>
          <w:szCs w:val="21"/>
        </w:rPr>
        <w:t xml:space="preserve">辞退补偿:试用期内辞退工人无需支付辞退补偿金，试用期满并正式签订合同后需支付辞退补偿金，一般在每期期末实际辞退工人时实时支付。 </w:t>
      </w:r>
    </w:p>
    <w:p>
      <w:pPr>
        <w:rPr>
          <w:rFonts w:ascii="宋体" w:hAnsi="宋体"/>
          <w:color w:val="000000"/>
          <w:szCs w:val="21"/>
        </w:rPr>
      </w:pPr>
    </w:p>
    <w:p>
      <w:pPr>
        <w:autoSpaceDE w:val="0"/>
        <w:autoSpaceDN w:val="0"/>
        <w:rPr>
          <w:rFonts w:ascii="宋体" w:hAnsi="宋体"/>
          <w:color w:val="000000"/>
          <w:szCs w:val="21"/>
        </w:rPr>
      </w:pPr>
      <w:r>
        <w:rPr>
          <w:rFonts w:ascii="宋体" w:hAnsi="宋体"/>
          <w:color w:val="000000"/>
          <w:szCs w:val="21"/>
        </w:rPr>
        <w:t>以下是不同类型的生产工人：</w:t>
      </w:r>
    </w:p>
    <w:tbl>
      <w:tblPr>
        <w:tblStyle w:val="10"/>
        <w:tblW w:w="8933"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1"/>
        <w:gridCol w:w="7172"/>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53" w:type="dxa"/>
            <w:tcBorders>
              <w:top w:val="single" w:color="000000" w:sz="8" w:space="0"/>
              <w:left w:val="nil"/>
              <w:bottom w:val="single" w:color="000000" w:sz="8" w:space="0"/>
              <w:right w:val="nil"/>
            </w:tcBorders>
          </w:tcPr>
          <w:p>
            <w:pPr>
              <w:autoSpaceDE w:val="0"/>
              <w:autoSpaceDN w:val="0"/>
              <w:rPr>
                <w:rFonts w:ascii="宋体" w:hAnsi="宋体"/>
                <w:b/>
                <w:bCs/>
                <w:color w:val="000000"/>
              </w:rPr>
            </w:pPr>
            <w:r>
              <w:rPr>
                <w:rFonts w:ascii="宋体" w:hAnsi="宋体"/>
                <w:b/>
                <w:bCs/>
                <w:color w:val="000000"/>
              </w:rPr>
              <w:drawing>
                <wp:inline distT="0" distB="0" distL="0" distR="0">
                  <wp:extent cx="1216025" cy="1371600"/>
                  <wp:effectExtent l="19050" t="0" r="3175" b="0"/>
                  <wp:docPr id="8" name="图片框 1044" descr="http://127.0.0.1:8082/BSTCS/image/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框 1044" descr="http://127.0.0.1:8082/BSTCS/image/3g.jpg"/>
                          <pic:cNvPicPr>
                            <a:picLocks noChangeAspect="1" noChangeArrowheads="1"/>
                          </pic:cNvPicPr>
                        </pic:nvPicPr>
                        <pic:blipFill>
                          <a:blip r:embed="rId13"/>
                          <a:srcRect/>
                          <a:stretch>
                            <a:fillRect/>
                          </a:stretch>
                        </pic:blipFill>
                        <pic:spPr>
                          <a:xfrm>
                            <a:off x="0" y="0"/>
                            <a:ext cx="1216025" cy="1371600"/>
                          </a:xfrm>
                          <a:prstGeom prst="rect">
                            <a:avLst/>
                          </a:prstGeom>
                          <a:noFill/>
                          <a:ln w="9525">
                            <a:noFill/>
                            <a:miter lim="800000"/>
                            <a:headEnd/>
                            <a:tailEnd/>
                          </a:ln>
                        </pic:spPr>
                      </pic:pic>
                    </a:graphicData>
                  </a:graphic>
                </wp:inline>
              </w:drawing>
            </w:r>
          </w:p>
        </w:tc>
        <w:tc>
          <w:tcPr>
            <w:tcW w:w="7138" w:type="dxa"/>
            <w:tcBorders>
              <w:top w:val="single" w:color="000000" w:sz="8" w:space="0"/>
              <w:left w:val="nil"/>
              <w:bottom w:val="single" w:color="000000" w:sz="8" w:space="0"/>
              <w:right w:val="nil"/>
            </w:tcBorders>
          </w:tcPr>
          <w:tbl>
            <w:tblPr>
              <w:tblStyle w:val="10"/>
              <w:tblW w:w="700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4"/>
              <w:gridCol w:w="350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Borders>
                    <w:top w:val="single" w:color="4F81BD" w:themeColor="accent1" w:sz="8" w:space="0"/>
                    <w:left w:val="nil"/>
                    <w:bottom w:val="single" w:color="4F81BD" w:themeColor="accent1" w:sz="8" w:space="0"/>
                    <w:right w:val="nil"/>
                  </w:tcBorders>
                </w:tcPr>
                <w:p>
                  <w:pPr>
                    <w:autoSpaceDE w:val="0"/>
                    <w:autoSpaceDN w:val="0"/>
                    <w:rPr>
                      <w:rFonts w:ascii="宋体" w:hAnsi="宋体"/>
                      <w:b/>
                      <w:bCs/>
                      <w:color w:val="000000"/>
                    </w:rPr>
                  </w:pPr>
                  <w:r>
                    <w:rPr>
                      <w:rFonts w:ascii="宋体" w:hAnsi="宋体"/>
                      <w:b/>
                      <w:bCs/>
                      <w:color w:val="000000"/>
                    </w:rPr>
                    <w:t>工人类型</w:t>
                  </w:r>
                </w:p>
              </w:tc>
              <w:tc>
                <w:tcPr>
                  <w:tcW w:w="3484" w:type="dxa"/>
                  <w:tcBorders>
                    <w:top w:val="single" w:color="4F81BD" w:themeColor="accent1" w:sz="8" w:space="0"/>
                    <w:left w:val="nil"/>
                    <w:bottom w:val="single" w:color="4F81BD" w:themeColor="accent1" w:sz="8" w:space="0"/>
                    <w:right w:val="nil"/>
                  </w:tcBorders>
                </w:tcPr>
                <w:p>
                  <w:pPr>
                    <w:autoSpaceDE w:val="0"/>
                    <w:autoSpaceDN w:val="0"/>
                    <w:rPr>
                      <w:rFonts w:ascii="宋体" w:hAnsi="宋体"/>
                      <w:b/>
                      <w:bCs/>
                      <w:color w:val="000000"/>
                    </w:rPr>
                  </w:pPr>
                  <w:r>
                    <w:rPr>
                      <w:rFonts w:ascii="宋体" w:hAnsi="宋体"/>
                      <w:b/>
                      <w:bCs/>
                      <w:color w:val="000000"/>
                    </w:rPr>
                    <w:t>生产工人</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生产能力</w:t>
                  </w:r>
                </w:p>
              </w:tc>
              <w:tc>
                <w:tcPr>
                  <w:tcW w:w="3484"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9</w:t>
                  </w:r>
                  <w:r>
                    <w:rPr>
                      <w:rFonts w:hint="eastAsia" w:ascii="宋体" w:hAnsi="宋体"/>
                      <w:b/>
                      <w:bCs/>
                      <w:color w:val="000000"/>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Pr>
                <w:p>
                  <w:pPr>
                    <w:autoSpaceDE w:val="0"/>
                    <w:autoSpaceDN w:val="0"/>
                    <w:rPr>
                      <w:rFonts w:ascii="宋体" w:hAnsi="宋体"/>
                      <w:b/>
                      <w:bCs/>
                      <w:color w:val="000000"/>
                    </w:rPr>
                  </w:pPr>
                  <w:r>
                    <w:rPr>
                      <w:rFonts w:ascii="宋体" w:hAnsi="宋体"/>
                      <w:b/>
                      <w:bCs/>
                      <w:color w:val="000000"/>
                    </w:rPr>
                    <w:t>招聘费用</w:t>
                  </w:r>
                </w:p>
              </w:tc>
              <w:tc>
                <w:tcPr>
                  <w:tcW w:w="3484" w:type="dxa"/>
                </w:tcPr>
                <w:p>
                  <w:pPr>
                    <w:autoSpaceDE w:val="0"/>
                    <w:autoSpaceDN w:val="0"/>
                    <w:rPr>
                      <w:rFonts w:ascii="宋体" w:hAnsi="宋体"/>
                      <w:b/>
                      <w:bCs/>
                      <w:color w:val="000000"/>
                    </w:rPr>
                  </w:pPr>
                  <w:r>
                    <w:rPr>
                      <w:rFonts w:ascii="宋体" w:hAnsi="宋体"/>
                      <w:b/>
                      <w:bCs/>
                      <w:color w:val="000000"/>
                    </w:rPr>
                    <w:t>300.00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季度工资</w:t>
                  </w:r>
                </w:p>
              </w:tc>
              <w:tc>
                <w:tcPr>
                  <w:tcW w:w="3484"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3,600.00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Pr>
                <w:p>
                  <w:pPr>
                    <w:autoSpaceDE w:val="0"/>
                    <w:autoSpaceDN w:val="0"/>
                    <w:rPr>
                      <w:rFonts w:ascii="宋体" w:hAnsi="宋体"/>
                      <w:b/>
                      <w:bCs/>
                      <w:color w:val="000000"/>
                    </w:rPr>
                  </w:pPr>
                  <w:r>
                    <w:rPr>
                      <w:rFonts w:ascii="宋体" w:hAnsi="宋体"/>
                      <w:b/>
                      <w:bCs/>
                      <w:color w:val="000000"/>
                    </w:rPr>
                    <w:t>试用期</w:t>
                  </w:r>
                </w:p>
              </w:tc>
              <w:tc>
                <w:tcPr>
                  <w:tcW w:w="3484" w:type="dxa"/>
                </w:tcPr>
                <w:p>
                  <w:pPr>
                    <w:autoSpaceDE w:val="0"/>
                    <w:autoSpaceDN w:val="0"/>
                    <w:rPr>
                      <w:rFonts w:ascii="宋体" w:hAnsi="宋体"/>
                      <w:b/>
                      <w:bCs/>
                      <w:color w:val="000000"/>
                    </w:rPr>
                  </w:pPr>
                  <w:r>
                    <w:rPr>
                      <w:rFonts w:ascii="宋体" w:hAnsi="宋体"/>
                      <w:b/>
                      <w:bCs/>
                      <w:color w:val="000000"/>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培训费用</w:t>
                  </w:r>
                </w:p>
              </w:tc>
              <w:tc>
                <w:tcPr>
                  <w:tcW w:w="3484"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300.00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Pr>
                <w:p>
                  <w:pPr>
                    <w:autoSpaceDE w:val="0"/>
                    <w:autoSpaceDN w:val="0"/>
                    <w:rPr>
                      <w:rFonts w:ascii="宋体" w:hAnsi="宋体"/>
                      <w:b/>
                      <w:bCs/>
                      <w:color w:val="000000"/>
                    </w:rPr>
                  </w:pPr>
                  <w:r>
                    <w:rPr>
                      <w:rFonts w:ascii="宋体" w:hAnsi="宋体"/>
                      <w:b/>
                      <w:bCs/>
                      <w:color w:val="000000"/>
                    </w:rPr>
                    <w:t>培训提升</w:t>
                  </w:r>
                </w:p>
              </w:tc>
              <w:tc>
                <w:tcPr>
                  <w:tcW w:w="3484" w:type="dxa"/>
                </w:tcPr>
                <w:p>
                  <w:pPr>
                    <w:autoSpaceDE w:val="0"/>
                    <w:autoSpaceDN w:val="0"/>
                    <w:rPr>
                      <w:rFonts w:ascii="宋体" w:hAnsi="宋体"/>
                      <w:b/>
                      <w:bCs/>
                      <w:color w:val="000000"/>
                    </w:rPr>
                  </w:pPr>
                  <w:r>
                    <w:rPr>
                      <w:rFonts w:ascii="宋体" w:hAnsi="宋体"/>
                      <w:b/>
                      <w:bCs/>
                      <w:color w:val="000000"/>
                    </w:rPr>
                    <w:t>3.00%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83"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辞退补偿</w:t>
                  </w:r>
                </w:p>
              </w:tc>
              <w:tc>
                <w:tcPr>
                  <w:tcW w:w="3484" w:type="dxa"/>
                  <w:tcBorders>
                    <w:left w:val="nil"/>
                    <w:right w:val="nil"/>
                  </w:tcBorders>
                  <w:shd w:val="clear" w:color="auto" w:fill="D3DFEE" w:themeFill="accent1" w:themeFillTint="3F"/>
                </w:tcPr>
                <w:p>
                  <w:pPr>
                    <w:autoSpaceDE w:val="0"/>
                    <w:autoSpaceDN w:val="0"/>
                    <w:rPr>
                      <w:rFonts w:ascii="宋体" w:hAnsi="宋体"/>
                      <w:b/>
                      <w:bCs/>
                      <w:color w:val="000000"/>
                    </w:rPr>
                  </w:pPr>
                  <w:r>
                    <w:rPr>
                      <w:rFonts w:ascii="宋体" w:hAnsi="宋体"/>
                      <w:b/>
                      <w:bCs/>
                      <w:color w:val="000000"/>
                    </w:rPr>
                    <w:t>2,000.00</w:t>
                  </w:r>
                </w:p>
              </w:tc>
            </w:tr>
          </w:tbl>
          <w:p>
            <w:pPr>
              <w:autoSpaceDE w:val="0"/>
              <w:autoSpaceDN w:val="0"/>
              <w:rPr>
                <w:rFonts w:ascii="宋体" w:hAnsi="宋体"/>
                <w:b/>
                <w:bCs/>
                <w:color w:val="000000"/>
              </w:rPr>
            </w:pPr>
          </w:p>
        </w:tc>
      </w:tr>
    </w:tbl>
    <w:p>
      <w:pPr>
        <w:autoSpaceDE w:val="0"/>
        <w:autoSpaceDN w:val="0"/>
        <w:rPr>
          <w:rFonts w:ascii="宋体" w:hAnsi="宋体"/>
          <w:color w:val="000000"/>
        </w:rPr>
      </w:pPr>
    </w:p>
    <w:p>
      <w:pPr>
        <w:autoSpaceDE w:val="0"/>
        <w:autoSpaceDN w:val="0"/>
        <w:rPr>
          <w:rFonts w:asciiTheme="minorEastAsia" w:hAnsiTheme="minorEastAsia" w:eastAsiaTheme="minorEastAsia"/>
          <w:color w:val="000000"/>
          <w:szCs w:val="21"/>
        </w:rPr>
      </w:pPr>
      <w:r>
        <w:rPr>
          <w:rFonts w:hint="eastAsia" w:ascii="宋体" w:hAnsi="宋体"/>
          <w:color w:val="000000"/>
        </w:rPr>
        <w:t>4.</w:t>
      </w:r>
      <w:r>
        <w:rPr>
          <w:rFonts w:ascii="宋体" w:hAnsi="宋体"/>
          <w:color w:val="000000"/>
        </w:rPr>
        <w:t>原料采购</w:t>
      </w:r>
      <w:r>
        <w:rPr>
          <w:rFonts w:ascii="宋体" w:hAnsi="宋体"/>
          <w:color w:val="000000"/>
        </w:rPr>
        <w:br w:type="textWrapping"/>
      </w:r>
      <w:r>
        <w:rPr>
          <w:rFonts w:hint="eastAsia" w:ascii="宋体" w:hAnsi="宋体"/>
          <w:color w:val="000000"/>
        </w:rPr>
        <w:t>原料分为多个大类，分别是：</w:t>
      </w:r>
      <w:r>
        <w:rPr>
          <w:rFonts w:hint="eastAsia"/>
          <w:color w:val="FF0000"/>
          <w:sz w:val="20"/>
          <w:szCs w:val="20"/>
        </w:rPr>
        <w:t>屏幕类型</w:t>
      </w:r>
      <w:r>
        <w:rPr>
          <w:rFonts w:hint="eastAsia"/>
          <w:color w:val="000000"/>
          <w:sz w:val="20"/>
          <w:szCs w:val="20"/>
        </w:rPr>
        <w:t>,</w:t>
      </w:r>
      <w:r>
        <w:rPr>
          <w:rFonts w:hint="eastAsia"/>
          <w:color w:val="FF0000"/>
          <w:sz w:val="20"/>
          <w:szCs w:val="20"/>
        </w:rPr>
        <w:t>腕带材质</w:t>
      </w:r>
      <w:r>
        <w:rPr>
          <w:rFonts w:hint="eastAsia"/>
          <w:color w:val="000000"/>
          <w:sz w:val="20"/>
          <w:szCs w:val="20"/>
        </w:rPr>
        <w:t>,</w:t>
      </w:r>
      <w:r>
        <w:rPr>
          <w:rFonts w:hint="eastAsia"/>
          <w:color w:val="FF0000"/>
          <w:sz w:val="20"/>
          <w:szCs w:val="20"/>
        </w:rPr>
        <w:t>待机时间</w:t>
      </w:r>
      <w:r>
        <w:rPr>
          <w:rFonts w:hint="eastAsia"/>
          <w:color w:val="000000"/>
          <w:sz w:val="20"/>
          <w:szCs w:val="20"/>
        </w:rPr>
        <w:t>,</w:t>
      </w:r>
      <w:r>
        <w:rPr>
          <w:rFonts w:hint="eastAsia"/>
          <w:color w:val="FF0000"/>
          <w:sz w:val="20"/>
          <w:szCs w:val="20"/>
        </w:rPr>
        <w:t>附加功能</w:t>
      </w:r>
      <w:r>
        <w:rPr>
          <w:rFonts w:hint="eastAsia"/>
          <w:color w:val="000000"/>
          <w:sz w:val="20"/>
          <w:szCs w:val="20"/>
        </w:rPr>
        <w:t>，</w:t>
      </w:r>
      <w:r>
        <w:rPr>
          <w:rFonts w:hint="eastAsia" w:asciiTheme="minorEastAsia" w:hAnsiTheme="minorEastAsia" w:eastAsiaTheme="minorEastAsia"/>
          <w:color w:val="000000"/>
          <w:szCs w:val="21"/>
        </w:rPr>
        <w:t>其中每个大类的原材料又包含多个明细原料</w:t>
      </w:r>
    </w:p>
    <w:p>
      <w:pPr>
        <w:autoSpaceDE w:val="0"/>
        <w:autoSpaceDN w:val="0"/>
        <w:rPr>
          <w:rFonts w:ascii="宋体" w:hAnsi="宋体"/>
          <w:color w:val="000000"/>
        </w:rPr>
      </w:pPr>
      <w:r>
        <w:rPr>
          <w:rFonts w:hint="eastAsia" w:ascii="宋体" w:hAnsi="宋体"/>
          <w:color w:val="000000"/>
        </w:rPr>
        <w:t>到货周期为0，即为现货，可随买随到随用；到货周期为1，即为需要提前预定，到下季度才能到货，如果要紧急采购，价格需要加价50%。</w:t>
      </w:r>
    </w:p>
    <w:p>
      <w:pPr>
        <w:autoSpaceDE w:val="0"/>
        <w:autoSpaceDN w:val="0"/>
        <w:rPr>
          <w:rFonts w:ascii="宋体" w:hAnsi="宋体"/>
          <w:color w:val="000000"/>
        </w:rPr>
      </w:pPr>
      <w:r>
        <w:rPr>
          <w:rFonts w:hint="eastAsia" w:ascii="宋体" w:hAnsi="宋体"/>
          <w:color w:val="000000"/>
        </w:rPr>
        <w:t>付款周期为0，即为现金支付，付款周期为1的，即为产生应付账款，下季度初支付。</w:t>
      </w:r>
    </w:p>
    <w:tbl>
      <w:tblPr>
        <w:tblStyle w:val="10"/>
        <w:tblW w:w="9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1"/>
        <w:gridCol w:w="8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1" w:hRule="atLeast"/>
        </w:trPr>
        <w:tc>
          <w:tcPr>
            <w:tcW w:w="1007" w:type="dxa"/>
          </w:tcPr>
          <w:p>
            <w:pPr>
              <w:widowControl/>
              <w:jc w:val="center"/>
              <w:rPr>
                <w:rFonts w:ascii="Arial" w:hAnsi="Arial" w:cs="Arial"/>
                <w:color w:val="000000"/>
                <w:kern w:val="0"/>
                <w:sz w:val="20"/>
                <w:szCs w:val="20"/>
              </w:rPr>
            </w:pPr>
            <w:r>
              <w:rPr>
                <w:rFonts w:ascii="Arial" w:hAnsi="Arial" w:cs="Arial"/>
                <w:color w:val="000000"/>
                <w:kern w:val="0"/>
                <w:sz w:val="20"/>
                <w:szCs w:val="20"/>
              </w:rPr>
              <w:drawing>
                <wp:inline distT="0" distB="0" distL="0" distR="0">
                  <wp:extent cx="621030" cy="621030"/>
                  <wp:effectExtent l="19050" t="0" r="7620" b="0"/>
                  <wp:docPr id="9" name="图片 9" descr="http://127.0.0.1:8082/BSTCS/image/student/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127.0.0.1:8082/BSTCS/image/student/100.png"/>
                          <pic:cNvPicPr>
                            <a:picLocks noChangeAspect="1" noChangeArrowheads="1"/>
                          </pic:cNvPicPr>
                        </pic:nvPicPr>
                        <pic:blipFill>
                          <a:blip r:embed="rId14"/>
                          <a:srcRect/>
                          <a:stretch>
                            <a:fillRect/>
                          </a:stretch>
                        </pic:blipFill>
                        <pic:spPr>
                          <a:xfrm>
                            <a:off x="0" y="0"/>
                            <a:ext cx="621030" cy="621030"/>
                          </a:xfrm>
                          <a:prstGeom prst="rect">
                            <a:avLst/>
                          </a:prstGeom>
                          <a:noFill/>
                          <a:ln w="9525">
                            <a:noFill/>
                            <a:miter lim="800000"/>
                            <a:headEnd/>
                            <a:tailEnd/>
                          </a:ln>
                        </pic:spPr>
                      </pic:pic>
                    </a:graphicData>
                  </a:graphic>
                </wp:inline>
              </w:drawing>
            </w:r>
          </w:p>
        </w:tc>
        <w:tc>
          <w:tcPr>
            <w:tcW w:w="8701" w:type="dxa"/>
          </w:tcPr>
          <w:tbl>
            <w:tblPr>
              <w:tblStyle w:val="10"/>
              <w:tblW w:w="8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7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048" w:type="dxa"/>
                </w:tcPr>
                <w:p>
                  <w:pPr>
                    <w:widowControl/>
                    <w:jc w:val="center"/>
                    <w:rPr>
                      <w:rFonts w:ascii="Arial" w:hAnsi="Arial" w:cs="Arial"/>
                      <w:color w:val="000000"/>
                      <w:kern w:val="0"/>
                      <w:sz w:val="20"/>
                      <w:szCs w:val="20"/>
                    </w:rPr>
                  </w:pPr>
                  <w:r>
                    <w:rPr>
                      <w:rFonts w:ascii="Arial" w:hAnsi="Arial" w:cs="Arial"/>
                      <w:color w:val="000000"/>
                      <w:kern w:val="0"/>
                      <w:sz w:val="20"/>
                      <w:szCs w:val="20"/>
                    </w:rPr>
                    <w:t>原料名称</w:t>
                  </w:r>
                </w:p>
              </w:tc>
              <w:tc>
                <w:tcPr>
                  <w:tcW w:w="7788" w:type="dxa"/>
                </w:tcPr>
                <w:p>
                  <w:pPr>
                    <w:widowControl/>
                    <w:jc w:val="center"/>
                    <w:rPr>
                      <w:rFonts w:ascii="Arial" w:hAnsi="Arial" w:cs="Arial"/>
                      <w:color w:val="000000"/>
                      <w:kern w:val="0"/>
                      <w:sz w:val="20"/>
                      <w:szCs w:val="20"/>
                    </w:rPr>
                  </w:pPr>
                  <w:r>
                    <w:rPr>
                      <w:rFonts w:ascii="Arial" w:hAnsi="Arial" w:cs="Arial"/>
                      <w:b/>
                      <w:bCs/>
                      <w:color w:val="000000"/>
                      <w:sz w:val="20"/>
                      <w:szCs w:val="20"/>
                    </w:rPr>
                    <w:t>高亮LED屏幕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048" w:type="dxa"/>
                </w:tcPr>
                <w:p>
                  <w:pPr>
                    <w:widowControl/>
                    <w:jc w:val="center"/>
                    <w:rPr>
                      <w:rFonts w:ascii="Arial" w:hAnsi="Arial" w:cs="Arial"/>
                      <w:color w:val="000000"/>
                      <w:kern w:val="0"/>
                      <w:sz w:val="20"/>
                      <w:szCs w:val="20"/>
                    </w:rPr>
                  </w:pPr>
                  <w:r>
                    <w:rPr>
                      <w:rFonts w:ascii="Arial" w:hAnsi="Arial" w:cs="Arial"/>
                      <w:color w:val="000000"/>
                      <w:kern w:val="0"/>
                      <w:sz w:val="20"/>
                      <w:szCs w:val="20"/>
                    </w:rPr>
                    <w:t>所属大类</w:t>
                  </w:r>
                </w:p>
              </w:tc>
              <w:tc>
                <w:tcPr>
                  <w:tcW w:w="7788" w:type="dxa"/>
                </w:tcPr>
                <w:p>
                  <w:pPr>
                    <w:widowControl/>
                    <w:jc w:val="center"/>
                    <w:rPr>
                      <w:rFonts w:ascii="Arial" w:hAnsi="Arial" w:cs="Arial"/>
                      <w:color w:val="000000"/>
                      <w:kern w:val="0"/>
                      <w:sz w:val="20"/>
                      <w:szCs w:val="20"/>
                    </w:rPr>
                  </w:pPr>
                  <w:r>
                    <w:rPr>
                      <w:rFonts w:ascii="Arial" w:hAnsi="Arial" w:cs="Arial"/>
                      <w:color w:val="000000"/>
                      <w:sz w:val="20"/>
                      <w:szCs w:val="20"/>
                    </w:rPr>
                    <w:t>屏幕类型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048" w:type="dxa"/>
                </w:tcPr>
                <w:p>
                  <w:pPr>
                    <w:widowControl/>
                    <w:jc w:val="center"/>
                    <w:rPr>
                      <w:rFonts w:ascii="Arial" w:hAnsi="Arial" w:cs="Arial"/>
                      <w:color w:val="000000"/>
                      <w:kern w:val="0"/>
                      <w:sz w:val="20"/>
                      <w:szCs w:val="20"/>
                    </w:rPr>
                  </w:pPr>
                  <w:r>
                    <w:rPr>
                      <w:rFonts w:ascii="Arial" w:hAnsi="Arial" w:cs="Arial"/>
                      <w:color w:val="000000"/>
                      <w:kern w:val="0"/>
                      <w:sz w:val="20"/>
                      <w:szCs w:val="20"/>
                    </w:rPr>
                    <w:t>到货周期</w:t>
                  </w:r>
                </w:p>
              </w:tc>
              <w:tc>
                <w:tcPr>
                  <w:tcW w:w="7788" w:type="dxa"/>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048" w:type="dxa"/>
                </w:tcPr>
                <w:p>
                  <w:pPr>
                    <w:widowControl/>
                    <w:jc w:val="center"/>
                    <w:rPr>
                      <w:rFonts w:ascii="Arial" w:hAnsi="Arial" w:cs="Arial"/>
                      <w:color w:val="000000"/>
                      <w:kern w:val="0"/>
                      <w:sz w:val="20"/>
                      <w:szCs w:val="20"/>
                    </w:rPr>
                  </w:pPr>
                  <w:r>
                    <w:rPr>
                      <w:rFonts w:ascii="Arial" w:hAnsi="Arial" w:cs="Arial"/>
                      <w:color w:val="000000"/>
                      <w:kern w:val="0"/>
                      <w:sz w:val="20"/>
                      <w:szCs w:val="20"/>
                    </w:rPr>
                    <w:t>付款周期</w:t>
                  </w:r>
                </w:p>
              </w:tc>
              <w:tc>
                <w:tcPr>
                  <w:tcW w:w="7788" w:type="dxa"/>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048" w:type="dxa"/>
                </w:tcPr>
                <w:p>
                  <w:pPr>
                    <w:widowControl/>
                    <w:jc w:val="center"/>
                    <w:rPr>
                      <w:rFonts w:ascii="Arial" w:hAnsi="Arial" w:cs="Arial"/>
                      <w:color w:val="000000"/>
                      <w:kern w:val="0"/>
                      <w:sz w:val="20"/>
                      <w:szCs w:val="20"/>
                    </w:rPr>
                  </w:pPr>
                  <w:r>
                    <w:rPr>
                      <w:rFonts w:ascii="Arial" w:hAnsi="Arial" w:cs="Arial"/>
                      <w:color w:val="000000"/>
                      <w:kern w:val="0"/>
                      <w:sz w:val="20"/>
                      <w:szCs w:val="20"/>
                    </w:rPr>
                    <w:t>原料特性</w:t>
                  </w:r>
                </w:p>
              </w:tc>
              <w:tc>
                <w:tcPr>
                  <w:tcW w:w="7788" w:type="dxa"/>
                </w:tcPr>
                <w:p>
                  <w:pPr>
                    <w:widowControl/>
                    <w:jc w:val="center"/>
                    <w:rPr>
                      <w:rFonts w:ascii="Arial" w:hAnsi="Arial" w:cs="Arial"/>
                      <w:color w:val="000000"/>
                      <w:kern w:val="0"/>
                      <w:sz w:val="20"/>
                      <w:szCs w:val="20"/>
                    </w:rPr>
                  </w:pPr>
                  <w:r>
                    <w:rPr>
                      <w:rFonts w:ascii="Arial" w:hAnsi="Arial" w:cs="Arial"/>
                      <w:color w:val="000000"/>
                      <w:sz w:val="20"/>
                      <w:szCs w:val="20"/>
                    </w:rPr>
                    <w:t>省电、发光均匀、寿命长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0" w:hRule="atLeast"/>
              </w:trPr>
              <w:tc>
                <w:tcPr>
                  <w:tcW w:w="1048" w:type="dxa"/>
                </w:tcPr>
                <w:p>
                  <w:pPr>
                    <w:widowControl/>
                    <w:jc w:val="center"/>
                    <w:rPr>
                      <w:rFonts w:ascii="Arial" w:hAnsi="Arial" w:cs="Arial"/>
                      <w:color w:val="000000"/>
                      <w:kern w:val="0"/>
                      <w:sz w:val="20"/>
                      <w:szCs w:val="20"/>
                    </w:rPr>
                  </w:pPr>
                  <w:r>
                    <w:rPr>
                      <w:rFonts w:ascii="Arial" w:hAnsi="Arial" w:cs="Arial"/>
                      <w:color w:val="000000"/>
                      <w:kern w:val="0"/>
                      <w:sz w:val="20"/>
                      <w:szCs w:val="20"/>
                    </w:rPr>
                    <w:t>原料价格</w:t>
                  </w:r>
                  <w:r>
                    <w:rPr>
                      <w:rFonts w:ascii="Arial" w:hAnsi="Arial" w:cs="Arial"/>
                      <w:color w:val="000000"/>
                      <w:kern w:val="0"/>
                      <w:sz w:val="20"/>
                      <w:szCs w:val="20"/>
                    </w:rPr>
                    <w:br w:type="textWrapping"/>
                  </w:r>
                  <w:r>
                    <w:rPr>
                      <w:rFonts w:ascii="Arial" w:hAnsi="Arial" w:cs="Arial"/>
                      <w:color w:val="000000"/>
                      <w:kern w:val="0"/>
                      <w:sz w:val="20"/>
                      <w:szCs w:val="20"/>
                    </w:rPr>
                    <w:t>近期走势</w:t>
                  </w:r>
                  <w:r>
                    <w:rPr>
                      <w:rFonts w:ascii="Arial" w:hAnsi="Arial" w:cs="Arial"/>
                      <w:color w:val="000000"/>
                      <w:kern w:val="0"/>
                      <w:sz w:val="20"/>
                      <w:szCs w:val="20"/>
                    </w:rPr>
                    <w:br w:type="textWrapping"/>
                  </w:r>
                  <w:r>
                    <w:rPr>
                      <w:rFonts w:ascii="Arial" w:hAnsi="Arial" w:cs="Arial"/>
                      <w:color w:val="000000"/>
                      <w:kern w:val="0"/>
                      <w:sz w:val="20"/>
                      <w:szCs w:val="20"/>
                    </w:rPr>
                    <w:t>(元/件)</w:t>
                  </w:r>
                </w:p>
              </w:tc>
              <w:tc>
                <w:tcPr>
                  <w:tcW w:w="7788" w:type="dxa"/>
                </w:tcPr>
                <w:p>
                  <w:pPr>
                    <w:widowControl/>
                    <w:jc w:val="center"/>
                    <w:rPr>
                      <w:rFonts w:ascii="Arial" w:hAnsi="Arial" w:cs="Arial"/>
                      <w:color w:val="000000"/>
                      <w:kern w:val="0"/>
                      <w:sz w:val="20"/>
                      <w:szCs w:val="20"/>
                    </w:rPr>
                  </w:pPr>
                  <w:r>
                    <w:drawing>
                      <wp:inline distT="0" distB="0" distL="0" distR="0">
                        <wp:extent cx="3838575" cy="23856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3847894" cy="239171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048" w:type="dxa"/>
                </w:tcPr>
                <w:p>
                  <w:pPr>
                    <w:widowControl/>
                    <w:jc w:val="center"/>
                    <w:rPr>
                      <w:rFonts w:ascii="Arial" w:hAnsi="Arial" w:cs="Arial"/>
                      <w:color w:val="000000"/>
                      <w:kern w:val="0"/>
                      <w:sz w:val="20"/>
                      <w:szCs w:val="20"/>
                    </w:rPr>
                  </w:pPr>
                  <w:r>
                    <w:rPr>
                      <w:rFonts w:ascii="Arial" w:hAnsi="Arial" w:cs="Arial"/>
                      <w:color w:val="000000"/>
                      <w:kern w:val="0"/>
                      <w:sz w:val="20"/>
                      <w:szCs w:val="20"/>
                    </w:rPr>
                    <w:t>价格折扣</w:t>
                  </w:r>
                </w:p>
              </w:tc>
              <w:tc>
                <w:tcPr>
                  <w:tcW w:w="7788" w:type="dxa"/>
                </w:tcPr>
                <w:tbl>
                  <w:tblPr>
                    <w:tblStyle w:val="10"/>
                    <w:tblW w:w="7720"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7"/>
                    <w:gridCol w:w="2855"/>
                    <w:gridCol w:w="2496"/>
                    <w:gridCol w:w="10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2" w:type="dxa"/>
                        <w:gridSpan w:val="4"/>
                        <w:tcBorders>
                          <w:top w:val="single" w:color="4F81BD" w:themeColor="accent1" w:sz="8" w:space="0"/>
                          <w:left w:val="nil"/>
                          <w:bottom w:val="single" w:color="4F81BD" w:themeColor="accent1" w:sz="8" w:space="0"/>
                          <w:right w:val="nil"/>
                        </w:tcBorders>
                      </w:tcPr>
                      <w:p>
                        <w:pPr>
                          <w:widowControl/>
                          <w:jc w:val="center"/>
                          <w:rPr>
                            <w:rFonts w:ascii="Arial" w:hAnsi="Arial" w:cs="Arial"/>
                            <w:b/>
                            <w:bCs/>
                            <w:color w:val="333333"/>
                            <w:kern w:val="0"/>
                            <w:sz w:val="20"/>
                            <w:szCs w:val="20"/>
                          </w:rPr>
                        </w:pPr>
                        <w:r>
                          <w:rPr>
                            <w:rFonts w:ascii="Arial" w:hAnsi="Arial" w:cs="Arial"/>
                            <w:b/>
                            <w:bCs/>
                            <w:color w:val="333333"/>
                            <w:kern w:val="0"/>
                            <w:sz w:val="20"/>
                            <w:szCs w:val="20"/>
                          </w:rPr>
                          <w:t>折扣表</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40" w:hRule="atLeast"/>
                    </w:trPr>
                    <w:tc>
                      <w:tcPr>
                        <w:tcW w:w="2258" w:type="dxa"/>
                        <w:tcBorders>
                          <w:left w:val="nil"/>
                          <w:right w:val="nil"/>
                        </w:tcBorders>
                        <w:shd w:val="clear" w:color="auto" w:fill="D3DFEE" w:themeFill="accent1" w:themeFillTint="3F"/>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从(件)</w:t>
                        </w:r>
                      </w:p>
                    </w:tc>
                    <w:tc>
                      <w:tcPr>
                        <w:tcW w:w="2845" w:type="dxa"/>
                        <w:tcBorders>
                          <w:left w:val="nil"/>
                          <w:right w:val="nil"/>
                        </w:tcBorders>
                        <w:shd w:val="clear" w:color="auto" w:fill="D3DFEE" w:themeFill="accent1" w:themeFillTint="3F"/>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到(件)</w:t>
                        </w:r>
                      </w:p>
                    </w:tc>
                    <w:tc>
                      <w:tcPr>
                        <w:tcW w:w="2487" w:type="dxa"/>
                        <w:tcBorders>
                          <w:left w:val="nil"/>
                          <w:right w:val="nil"/>
                        </w:tcBorders>
                        <w:shd w:val="clear" w:color="auto" w:fill="D3DFEE" w:themeFill="accent1" w:themeFillTint="3F"/>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折扣</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99" w:hRule="atLeast"/>
                    </w:trPr>
                    <w:tc>
                      <w:tcPr>
                        <w:tcW w:w="2258"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0.0</w:t>
                        </w:r>
                      </w:p>
                    </w:tc>
                    <w:tc>
                      <w:tcPr>
                        <w:tcW w:w="2845" w:type="dxa"/>
                      </w:tcPr>
                      <w:p>
                        <w:pPr>
                          <w:widowControl/>
                          <w:jc w:val="right"/>
                          <w:rPr>
                            <w:rFonts w:ascii="Arial" w:hAnsi="Arial" w:cs="Arial"/>
                            <w:color w:val="000000"/>
                            <w:kern w:val="0"/>
                            <w:sz w:val="20"/>
                            <w:szCs w:val="20"/>
                          </w:rPr>
                        </w:pPr>
                        <w:r>
                          <w:rPr>
                            <w:rFonts w:ascii="Arial" w:hAnsi="Arial" w:cs="Arial"/>
                            <w:color w:val="000000"/>
                            <w:kern w:val="0"/>
                            <w:sz w:val="20"/>
                            <w:szCs w:val="20"/>
                          </w:rPr>
                          <w:t>200.00</w:t>
                        </w:r>
                      </w:p>
                    </w:tc>
                    <w:tc>
                      <w:tcPr>
                        <w:tcW w:w="2487" w:type="dxa"/>
                      </w:tcPr>
                      <w:p>
                        <w:pPr>
                          <w:widowControl/>
                          <w:jc w:val="right"/>
                          <w:rPr>
                            <w:rFonts w:ascii="Arial" w:hAnsi="Arial" w:cs="Arial"/>
                            <w:color w:val="000000"/>
                            <w:kern w:val="0"/>
                            <w:sz w:val="20"/>
                            <w:szCs w:val="20"/>
                          </w:rPr>
                        </w:pPr>
                        <w:r>
                          <w:rPr>
                            <w:rFonts w:ascii="Arial" w:hAnsi="Arial" w:cs="Arial"/>
                            <w:color w:val="000000"/>
                            <w:kern w:val="0"/>
                            <w:sz w:val="20"/>
                            <w:szCs w:val="20"/>
                          </w:rPr>
                          <w:t>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99" w:hRule="atLeast"/>
                    </w:trPr>
                    <w:tc>
                      <w:tcPr>
                        <w:tcW w:w="2258" w:type="dxa"/>
                        <w:tcBorders>
                          <w:left w:val="nil"/>
                          <w:right w:val="nil"/>
                        </w:tcBorders>
                        <w:shd w:val="clear" w:color="auto" w:fill="D3DFEE" w:themeFill="accent1"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201.0</w:t>
                        </w:r>
                      </w:p>
                    </w:tc>
                    <w:tc>
                      <w:tcPr>
                        <w:tcW w:w="2845" w:type="dxa"/>
                        <w:tcBorders>
                          <w:left w:val="nil"/>
                          <w:right w:val="nil"/>
                        </w:tcBorders>
                        <w:shd w:val="clear" w:color="auto" w:fill="D3DFEE" w:themeFill="accent1" w:themeFillTint="3F"/>
                      </w:tcPr>
                      <w:p>
                        <w:pPr>
                          <w:widowControl/>
                          <w:jc w:val="right"/>
                          <w:rPr>
                            <w:rFonts w:ascii="Arial" w:hAnsi="Arial" w:cs="Arial"/>
                            <w:color w:val="000000"/>
                            <w:kern w:val="0"/>
                            <w:sz w:val="20"/>
                            <w:szCs w:val="20"/>
                          </w:rPr>
                        </w:pPr>
                        <w:r>
                          <w:rPr>
                            <w:rFonts w:ascii="Arial" w:hAnsi="Arial" w:cs="Arial"/>
                            <w:color w:val="000000"/>
                            <w:kern w:val="0"/>
                            <w:sz w:val="20"/>
                            <w:szCs w:val="20"/>
                          </w:rPr>
                          <w:t>500.00</w:t>
                        </w:r>
                      </w:p>
                    </w:tc>
                    <w:tc>
                      <w:tcPr>
                        <w:tcW w:w="2487" w:type="dxa"/>
                        <w:tcBorders>
                          <w:left w:val="nil"/>
                          <w:right w:val="nil"/>
                        </w:tcBorders>
                        <w:shd w:val="clear" w:color="auto" w:fill="D3DFEE" w:themeFill="accent1" w:themeFillTint="3F"/>
                      </w:tcPr>
                      <w:p>
                        <w:pPr>
                          <w:widowControl/>
                          <w:jc w:val="right"/>
                          <w:rPr>
                            <w:rFonts w:ascii="Arial" w:hAnsi="Arial" w:cs="Arial"/>
                            <w:color w:val="000000"/>
                            <w:kern w:val="0"/>
                            <w:sz w:val="20"/>
                            <w:szCs w:val="20"/>
                          </w:rPr>
                        </w:pPr>
                        <w:r>
                          <w:rPr>
                            <w:rFonts w:ascii="Arial" w:hAnsi="Arial" w:cs="Arial"/>
                            <w:color w:val="000000"/>
                            <w:kern w:val="0"/>
                            <w:sz w:val="20"/>
                            <w:szCs w:val="20"/>
                          </w:rPr>
                          <w:t>5.00%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99" w:hRule="atLeast"/>
                    </w:trPr>
                    <w:tc>
                      <w:tcPr>
                        <w:tcW w:w="2258"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501.0</w:t>
                        </w:r>
                      </w:p>
                    </w:tc>
                    <w:tc>
                      <w:tcPr>
                        <w:tcW w:w="2845" w:type="dxa"/>
                      </w:tcPr>
                      <w:p>
                        <w:pPr>
                          <w:widowControl/>
                          <w:jc w:val="right"/>
                          <w:rPr>
                            <w:rFonts w:ascii="Arial" w:hAnsi="Arial" w:cs="Arial"/>
                            <w:color w:val="000000"/>
                            <w:kern w:val="0"/>
                            <w:sz w:val="20"/>
                            <w:szCs w:val="20"/>
                          </w:rPr>
                        </w:pPr>
                        <w:r>
                          <w:rPr>
                            <w:rFonts w:ascii="Arial" w:hAnsi="Arial" w:cs="Arial"/>
                            <w:color w:val="000000"/>
                            <w:kern w:val="0"/>
                            <w:sz w:val="20"/>
                            <w:szCs w:val="20"/>
                          </w:rPr>
                          <w:t>1,000.00</w:t>
                        </w:r>
                      </w:p>
                    </w:tc>
                    <w:tc>
                      <w:tcPr>
                        <w:tcW w:w="2487" w:type="dxa"/>
                      </w:tcPr>
                      <w:p>
                        <w:pPr>
                          <w:widowControl/>
                          <w:jc w:val="right"/>
                          <w:rPr>
                            <w:rFonts w:ascii="Arial" w:hAnsi="Arial" w:cs="Arial"/>
                            <w:color w:val="000000"/>
                            <w:kern w:val="0"/>
                            <w:sz w:val="20"/>
                            <w:szCs w:val="20"/>
                          </w:rPr>
                        </w:pPr>
                        <w:r>
                          <w:rPr>
                            <w:rFonts w:ascii="Arial" w:hAnsi="Arial" w:cs="Arial"/>
                            <w:color w:val="000000"/>
                            <w:kern w:val="0"/>
                            <w:sz w:val="20"/>
                            <w:szCs w:val="20"/>
                          </w:rPr>
                          <w:t>10.00%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99" w:hRule="atLeast"/>
                    </w:trPr>
                    <w:tc>
                      <w:tcPr>
                        <w:tcW w:w="2258" w:type="dxa"/>
                        <w:tcBorders>
                          <w:left w:val="nil"/>
                          <w:right w:val="nil"/>
                        </w:tcBorders>
                        <w:shd w:val="clear" w:color="auto" w:fill="D3DFEE" w:themeFill="accent1"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1001.0</w:t>
                        </w:r>
                      </w:p>
                    </w:tc>
                    <w:tc>
                      <w:tcPr>
                        <w:tcW w:w="2845" w:type="dxa"/>
                        <w:tcBorders>
                          <w:left w:val="nil"/>
                          <w:right w:val="nil"/>
                        </w:tcBorders>
                        <w:shd w:val="clear" w:color="auto" w:fill="D3DFEE" w:themeFill="accent1" w:themeFillTint="3F"/>
                      </w:tcPr>
                      <w:p>
                        <w:pPr>
                          <w:widowControl/>
                          <w:jc w:val="right"/>
                          <w:rPr>
                            <w:rFonts w:ascii="Arial" w:hAnsi="Arial" w:cs="Arial"/>
                            <w:color w:val="000000"/>
                            <w:kern w:val="0"/>
                            <w:sz w:val="20"/>
                            <w:szCs w:val="20"/>
                          </w:rPr>
                        </w:pPr>
                        <w:r>
                          <w:rPr>
                            <w:rFonts w:ascii="Arial" w:hAnsi="Arial" w:cs="Arial"/>
                            <w:color w:val="000000"/>
                            <w:kern w:val="0"/>
                            <w:sz w:val="20"/>
                            <w:szCs w:val="20"/>
                          </w:rPr>
                          <w:t>1,500.00</w:t>
                        </w:r>
                      </w:p>
                    </w:tc>
                    <w:tc>
                      <w:tcPr>
                        <w:tcW w:w="2487" w:type="dxa"/>
                        <w:tcBorders>
                          <w:left w:val="nil"/>
                          <w:right w:val="nil"/>
                        </w:tcBorders>
                        <w:shd w:val="clear" w:color="auto" w:fill="D3DFEE" w:themeFill="accent1" w:themeFillTint="3F"/>
                      </w:tcPr>
                      <w:p>
                        <w:pPr>
                          <w:widowControl/>
                          <w:jc w:val="right"/>
                          <w:rPr>
                            <w:rFonts w:ascii="Arial" w:hAnsi="Arial" w:cs="Arial"/>
                            <w:color w:val="000000"/>
                            <w:kern w:val="0"/>
                            <w:sz w:val="20"/>
                            <w:szCs w:val="20"/>
                          </w:rPr>
                        </w:pPr>
                        <w:r>
                          <w:rPr>
                            <w:rFonts w:ascii="Arial" w:hAnsi="Arial" w:cs="Arial"/>
                            <w:color w:val="000000"/>
                            <w:kern w:val="0"/>
                            <w:sz w:val="20"/>
                            <w:szCs w:val="20"/>
                          </w:rPr>
                          <w:t>15.00%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99" w:hRule="atLeast"/>
                    </w:trPr>
                    <w:tc>
                      <w:tcPr>
                        <w:tcW w:w="2258"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1501.0</w:t>
                        </w:r>
                      </w:p>
                    </w:tc>
                    <w:tc>
                      <w:tcPr>
                        <w:tcW w:w="2845" w:type="dxa"/>
                      </w:tcPr>
                      <w:p>
                        <w:pPr>
                          <w:widowControl/>
                          <w:jc w:val="right"/>
                          <w:rPr>
                            <w:rFonts w:ascii="Arial" w:hAnsi="Arial" w:cs="Arial"/>
                            <w:color w:val="000000"/>
                            <w:kern w:val="0"/>
                            <w:sz w:val="20"/>
                            <w:szCs w:val="20"/>
                          </w:rPr>
                        </w:pPr>
                        <w:r>
                          <w:rPr>
                            <w:rFonts w:ascii="Arial" w:hAnsi="Arial" w:cs="Arial"/>
                            <w:color w:val="000000"/>
                            <w:kern w:val="0"/>
                            <w:sz w:val="20"/>
                            <w:szCs w:val="20"/>
                          </w:rPr>
                          <w:t>2,000.00</w:t>
                        </w:r>
                      </w:p>
                    </w:tc>
                    <w:tc>
                      <w:tcPr>
                        <w:tcW w:w="2487" w:type="dxa"/>
                      </w:tcPr>
                      <w:p>
                        <w:pPr>
                          <w:widowControl/>
                          <w:jc w:val="right"/>
                          <w:rPr>
                            <w:rFonts w:ascii="Arial" w:hAnsi="Arial" w:cs="Arial"/>
                            <w:color w:val="000000"/>
                            <w:kern w:val="0"/>
                            <w:sz w:val="20"/>
                            <w:szCs w:val="20"/>
                          </w:rPr>
                        </w:pPr>
                        <w:r>
                          <w:rPr>
                            <w:rFonts w:ascii="Arial" w:hAnsi="Arial" w:cs="Arial"/>
                            <w:color w:val="000000"/>
                            <w:kern w:val="0"/>
                            <w:sz w:val="20"/>
                            <w:szCs w:val="20"/>
                          </w:rPr>
                          <w:t>20.00%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99" w:hRule="atLeast"/>
                    </w:trPr>
                    <w:tc>
                      <w:tcPr>
                        <w:tcW w:w="2258" w:type="dxa"/>
                        <w:tcBorders>
                          <w:left w:val="nil"/>
                          <w:right w:val="nil"/>
                        </w:tcBorders>
                        <w:shd w:val="clear" w:color="auto" w:fill="D3DFEE" w:themeFill="accent1"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2001.0</w:t>
                        </w:r>
                      </w:p>
                    </w:tc>
                    <w:tc>
                      <w:tcPr>
                        <w:tcW w:w="2845" w:type="dxa"/>
                        <w:tcBorders>
                          <w:left w:val="nil"/>
                          <w:right w:val="nil"/>
                        </w:tcBorders>
                        <w:shd w:val="clear" w:color="auto" w:fill="D3DFEE" w:themeFill="accent1" w:themeFillTint="3F"/>
                      </w:tcPr>
                      <w:p>
                        <w:pPr>
                          <w:widowControl/>
                          <w:jc w:val="right"/>
                          <w:rPr>
                            <w:rFonts w:ascii="Arial" w:hAnsi="Arial" w:cs="Arial"/>
                            <w:color w:val="000000"/>
                            <w:kern w:val="0"/>
                            <w:sz w:val="20"/>
                            <w:szCs w:val="20"/>
                          </w:rPr>
                        </w:pPr>
                        <w:r>
                          <w:rPr>
                            <w:rFonts w:ascii="Arial" w:hAnsi="Arial" w:cs="Arial"/>
                            <w:color w:val="000000"/>
                            <w:kern w:val="0"/>
                            <w:sz w:val="20"/>
                            <w:szCs w:val="20"/>
                          </w:rPr>
                          <w:t>----</w:t>
                        </w:r>
                      </w:p>
                    </w:tc>
                    <w:tc>
                      <w:tcPr>
                        <w:tcW w:w="2487" w:type="dxa"/>
                        <w:tcBorders>
                          <w:left w:val="nil"/>
                          <w:right w:val="nil"/>
                        </w:tcBorders>
                        <w:shd w:val="clear" w:color="auto" w:fill="D3DFEE" w:themeFill="accent1" w:themeFillTint="3F"/>
                      </w:tcPr>
                      <w:p>
                        <w:pPr>
                          <w:widowControl/>
                          <w:jc w:val="right"/>
                          <w:rPr>
                            <w:rFonts w:ascii="Arial" w:hAnsi="Arial" w:cs="Arial"/>
                            <w:color w:val="000000"/>
                            <w:kern w:val="0"/>
                            <w:sz w:val="20"/>
                            <w:szCs w:val="20"/>
                          </w:rPr>
                        </w:pPr>
                        <w:r>
                          <w:rPr>
                            <w:rFonts w:ascii="Arial" w:hAnsi="Arial" w:cs="Arial"/>
                            <w:color w:val="000000"/>
                            <w:kern w:val="0"/>
                            <w:sz w:val="20"/>
                            <w:szCs w:val="20"/>
                          </w:rPr>
                          <w:t>25.00%</w:t>
                        </w:r>
                      </w:p>
                    </w:tc>
                  </w:tr>
                </w:tbl>
                <w:p>
                  <w:pPr>
                    <w:widowControl/>
                    <w:jc w:val="center"/>
                    <w:rPr>
                      <w:rFonts w:ascii="Arial" w:hAnsi="Arial" w:cs="Arial"/>
                      <w:color w:val="000000"/>
                      <w:kern w:val="0"/>
                      <w:sz w:val="20"/>
                      <w:szCs w:val="20"/>
                    </w:rPr>
                  </w:pPr>
                </w:p>
              </w:tc>
            </w:tr>
          </w:tbl>
          <w:p>
            <w:pPr>
              <w:widowControl/>
              <w:jc w:val="center"/>
              <w:rPr>
                <w:rFonts w:ascii="Arial" w:hAnsi="Arial" w:cs="Arial"/>
                <w:color w:val="000000"/>
                <w:kern w:val="0"/>
                <w:sz w:val="20"/>
                <w:szCs w:val="20"/>
              </w:rPr>
            </w:pPr>
          </w:p>
        </w:tc>
      </w:tr>
    </w:tbl>
    <w:p>
      <w:pPr>
        <w:widowControl/>
        <w:jc w:val="left"/>
        <w:rPr>
          <w:rFonts w:ascii="宋体" w:hAnsi="宋体" w:cs="宋体"/>
          <w:color w:val="000000"/>
          <w:kern w:val="0"/>
          <w:sz w:val="20"/>
          <w:szCs w:val="20"/>
        </w:rPr>
      </w:pPr>
      <w:r>
        <w:rPr>
          <w:rFonts w:hint="eastAsia"/>
          <w:color w:val="FF0000"/>
          <w:szCs w:val="21"/>
        </w:rPr>
        <w:t>其他各原材料参数，详见实验规则</w:t>
      </w:r>
      <w:r>
        <w:rPr>
          <w:rFonts w:cs="Calibri"/>
          <w:color w:val="FF0000"/>
          <w:szCs w:val="21"/>
        </w:rPr>
        <w:t>-</w:t>
      </w:r>
      <w:r>
        <w:rPr>
          <w:rFonts w:hint="eastAsia"/>
          <w:color w:val="FF0000"/>
          <w:szCs w:val="21"/>
        </w:rPr>
        <w:t>生产制造。</w:t>
      </w:r>
    </w:p>
    <w:p>
      <w:pPr>
        <w:widowControl/>
        <w:jc w:val="left"/>
        <w:rPr>
          <w:rFonts w:ascii="宋体" w:hAnsi="宋体" w:cs="宋体"/>
          <w:color w:val="000000"/>
          <w:kern w:val="0"/>
          <w:szCs w:val="21"/>
        </w:rPr>
      </w:pPr>
      <w:r>
        <w:rPr>
          <w:rFonts w:hint="eastAsia" w:ascii="宋体" w:hAnsi="宋体" w:cs="宋体"/>
          <w:bCs/>
          <w:color w:val="000000"/>
          <w:kern w:val="0"/>
          <w:szCs w:val="21"/>
        </w:rPr>
        <w:t>5.资质认证</w:t>
      </w:r>
      <w:r>
        <w:rPr>
          <w:rFonts w:hint="eastAsia" w:ascii="宋体" w:hAnsi="宋体" w:cs="宋体"/>
          <w:color w:val="000000"/>
          <w:kern w:val="0"/>
          <w:sz w:val="20"/>
          <w:szCs w:val="20"/>
        </w:rPr>
        <w:br w:type="textWrapping"/>
      </w:r>
      <w:r>
        <w:rPr>
          <w:rFonts w:hint="eastAsia" w:ascii="宋体" w:hAnsi="宋体" w:cs="宋体"/>
          <w:color w:val="000000"/>
          <w:kern w:val="0"/>
          <w:szCs w:val="21"/>
        </w:rPr>
        <w:t>公司可以获得多种资格认证，不同市场的不同消费者对企业所获得何种认证将有不同的要求，对于不能符合消费者要求的企业，消费者将拒绝购买其产品。</w:t>
      </w:r>
    </w:p>
    <w:p>
      <w:pPr>
        <w:widowControl/>
        <w:jc w:val="left"/>
        <w:rPr>
          <w:rFonts w:ascii="宋体" w:hAnsi="宋体" w:cs="宋体"/>
          <w:color w:val="000000"/>
          <w:kern w:val="0"/>
          <w:szCs w:val="21"/>
        </w:rPr>
      </w:pPr>
      <w:r>
        <w:rPr>
          <w:rFonts w:hint="eastAsia" w:ascii="宋体" w:hAnsi="宋体" w:cs="宋体"/>
          <w:color w:val="000000"/>
          <w:kern w:val="0"/>
          <w:szCs w:val="21"/>
        </w:rPr>
        <w:t>以下是不同类型的资格认证：</w:t>
      </w:r>
    </w:p>
    <w:tbl>
      <w:tblPr>
        <w:tblStyle w:val="10"/>
        <w:tblW w:w="9750"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0"/>
        <w:gridCol w:w="7340"/>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400" w:type="dxa"/>
            <w:tcBorders>
              <w:top w:val="single" w:color="4F81BD" w:themeColor="accent1" w:sz="8" w:space="0"/>
              <w:left w:val="nil"/>
              <w:bottom w:val="single" w:color="4F81BD" w:themeColor="accent1" w:sz="8" w:space="0"/>
              <w:right w:val="nil"/>
            </w:tcBorders>
          </w:tcPr>
          <w:p>
            <w:pPr>
              <w:widowControl/>
              <w:jc w:val="center"/>
              <w:rPr>
                <w:rFonts w:ascii="Arial" w:hAnsi="Arial" w:cs="Arial"/>
                <w:b/>
                <w:bCs/>
                <w:color w:val="000000"/>
                <w:kern w:val="0"/>
                <w:sz w:val="20"/>
                <w:szCs w:val="20"/>
              </w:rPr>
            </w:pPr>
            <w:r>
              <w:rPr>
                <w:rFonts w:ascii="Arial" w:hAnsi="Arial" w:cs="Arial"/>
                <w:b/>
                <w:bCs/>
                <w:color w:val="365F91"/>
                <w:kern w:val="0"/>
                <w:sz w:val="20"/>
                <w:szCs w:val="20"/>
              </w:rPr>
              <w:drawing>
                <wp:inline distT="0" distB="0" distL="0" distR="0">
                  <wp:extent cx="647065" cy="923290"/>
                  <wp:effectExtent l="19050" t="0" r="635" b="0"/>
                  <wp:docPr id="11" name="图片 11" descr="http://127.0.0.1:8082/BSTCS/image/IS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127.0.0.1:8082/BSTCS/image/ISO1.png"/>
                          <pic:cNvPicPr>
                            <a:picLocks noChangeAspect="1" noChangeArrowheads="1"/>
                          </pic:cNvPicPr>
                        </pic:nvPicPr>
                        <pic:blipFill>
                          <a:blip r:embed="rId16"/>
                          <a:srcRect/>
                          <a:stretch>
                            <a:fillRect/>
                          </a:stretch>
                        </pic:blipFill>
                        <pic:spPr>
                          <a:xfrm>
                            <a:off x="0" y="0"/>
                            <a:ext cx="647065" cy="923290"/>
                          </a:xfrm>
                          <a:prstGeom prst="rect">
                            <a:avLst/>
                          </a:prstGeom>
                          <a:noFill/>
                          <a:ln w="9525">
                            <a:noFill/>
                            <a:miter lim="800000"/>
                            <a:headEnd/>
                            <a:tailEnd/>
                          </a:ln>
                        </pic:spPr>
                      </pic:pic>
                    </a:graphicData>
                  </a:graphic>
                </wp:inline>
              </w:drawing>
            </w:r>
          </w:p>
        </w:tc>
        <w:tc>
          <w:tcPr>
            <w:tcW w:w="7308" w:type="dxa"/>
            <w:tcBorders>
              <w:top w:val="single" w:color="4F81BD" w:themeColor="accent1" w:sz="8" w:space="0"/>
              <w:left w:val="nil"/>
              <w:bottom w:val="single" w:color="4F81BD" w:themeColor="accent1" w:sz="8" w:space="0"/>
              <w:right w:val="nil"/>
            </w:tcBorders>
          </w:tcPr>
          <w:tbl>
            <w:tblPr>
              <w:tblStyle w:val="10"/>
              <w:tblW w:w="7278" w:type="dxa"/>
              <w:tblInd w:w="0" w:type="dxa"/>
              <w:tblBorders>
                <w:top w:val="single" w:color="8064A2" w:sz="8" w:space="0"/>
                <w:left w:val="none" w:color="auto" w:sz="0" w:space="0"/>
                <w:bottom w:val="single" w:color="8064A2"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2"/>
              <w:gridCol w:w="3826"/>
            </w:tblGrid>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Borders>
                    <w:top w:val="single" w:color="8064A2" w:themeColor="accent4" w:sz="8" w:space="0"/>
                    <w:left w:val="nil"/>
                    <w:bottom w:val="single" w:color="8064A2" w:themeColor="accent4" w:sz="8" w:space="0"/>
                    <w:right w:val="nil"/>
                  </w:tcBorders>
                </w:tcPr>
                <w:p>
                  <w:pPr>
                    <w:widowControl/>
                    <w:jc w:val="right"/>
                    <w:rPr>
                      <w:rFonts w:ascii="Arial" w:hAnsi="Arial" w:cs="Arial"/>
                      <w:b/>
                      <w:bCs/>
                      <w:color w:val="000000"/>
                      <w:kern w:val="0"/>
                      <w:sz w:val="20"/>
                      <w:szCs w:val="20"/>
                    </w:rPr>
                  </w:pPr>
                  <w:r>
                    <w:rPr>
                      <w:rFonts w:ascii="Arial" w:hAnsi="Arial" w:cs="Arial"/>
                      <w:b/>
                      <w:bCs/>
                      <w:color w:val="000000"/>
                      <w:kern w:val="0"/>
                      <w:sz w:val="20"/>
                      <w:szCs w:val="20"/>
                    </w:rPr>
                    <w:t>认证名称</w:t>
                  </w:r>
                </w:p>
              </w:tc>
              <w:tc>
                <w:tcPr>
                  <w:tcW w:w="3804" w:type="dxa"/>
                  <w:tcBorders>
                    <w:top w:val="single" w:color="8064A2" w:themeColor="accent4" w:sz="8" w:space="0"/>
                    <w:left w:val="nil"/>
                    <w:bottom w:val="single" w:color="8064A2" w:themeColor="accent4" w:sz="8" w:space="0"/>
                    <w:right w:val="nil"/>
                  </w:tcBorders>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CCC</w:t>
                  </w:r>
                  <w:r>
                    <w:rPr>
                      <w:rFonts w:hint="eastAsia" w:ascii="Arial" w:hAnsi="Arial" w:cs="Arial"/>
                      <w:b/>
                      <w:bCs/>
                      <w:color w:val="000000"/>
                      <w:kern w:val="0"/>
                      <w:sz w:val="20"/>
                      <w:szCs w:val="20"/>
                    </w:rPr>
                    <w:t>认证</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Borders>
                    <w:left w:val="nil"/>
                    <w:right w:val="nil"/>
                  </w:tcBorders>
                  <w:shd w:val="clear" w:color="auto" w:fill="DFD8E8" w:themeFill="accent4"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认证周期</w:t>
                  </w:r>
                </w:p>
              </w:tc>
              <w:tc>
                <w:tcPr>
                  <w:tcW w:w="3804" w:type="dxa"/>
                  <w:tcBorders>
                    <w:left w:val="nil"/>
                    <w:right w:val="nil"/>
                  </w:tcBorders>
                  <w:shd w:val="clear" w:color="auto" w:fill="DFD8E8" w:themeFill="accent4" w:themeFillTint="3F"/>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每期费用</w:t>
                  </w:r>
                </w:p>
              </w:tc>
              <w:tc>
                <w:tcPr>
                  <w:tcW w:w="3804" w:type="dxa"/>
                </w:tcPr>
                <w:p>
                  <w:pPr>
                    <w:widowControl/>
                    <w:jc w:val="center"/>
                    <w:rPr>
                      <w:rFonts w:ascii="Arial" w:hAnsi="Arial" w:cs="Arial"/>
                      <w:color w:val="000000"/>
                      <w:kern w:val="0"/>
                      <w:sz w:val="20"/>
                      <w:szCs w:val="20"/>
                    </w:rPr>
                  </w:pPr>
                  <w:r>
                    <w:rPr>
                      <w:rFonts w:ascii="Arial" w:hAnsi="Arial" w:cs="Arial"/>
                      <w:color w:val="000000"/>
                      <w:kern w:val="0"/>
                      <w:sz w:val="20"/>
                      <w:szCs w:val="20"/>
                    </w:rPr>
                    <w:t>30,000.00</w:t>
                  </w:r>
                </w:p>
              </w:tc>
            </w:tr>
            <w:tr>
              <w:tblPrEx>
                <w:tblBorders>
                  <w:top w:val="single" w:color="8064A2" w:sz="8" w:space="0"/>
                  <w:left w:val="none" w:color="auto" w:sz="0" w:space="0"/>
                  <w:bottom w:val="single" w:color="8064A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Borders>
                    <w:left w:val="nil"/>
                    <w:right w:val="nil"/>
                  </w:tcBorders>
                  <w:shd w:val="clear" w:color="auto" w:fill="DFD8E8" w:themeFill="accent4"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总费用</w:t>
                  </w:r>
                </w:p>
              </w:tc>
              <w:tc>
                <w:tcPr>
                  <w:tcW w:w="3804" w:type="dxa"/>
                  <w:tcBorders>
                    <w:left w:val="nil"/>
                    <w:right w:val="nil"/>
                  </w:tcBorders>
                  <w:shd w:val="clear" w:color="auto" w:fill="DFD8E8" w:themeFill="accent4" w:themeFillTint="3F"/>
                </w:tcPr>
                <w:p>
                  <w:pPr>
                    <w:widowControl/>
                    <w:jc w:val="center"/>
                    <w:rPr>
                      <w:rFonts w:ascii="Arial" w:hAnsi="Arial" w:cs="Arial"/>
                      <w:color w:val="000000"/>
                      <w:kern w:val="0"/>
                      <w:sz w:val="20"/>
                      <w:szCs w:val="20"/>
                    </w:rPr>
                  </w:pPr>
                  <w:r>
                    <w:rPr>
                      <w:rFonts w:ascii="Arial" w:hAnsi="Arial" w:cs="Arial"/>
                      <w:color w:val="000000"/>
                      <w:kern w:val="0"/>
                      <w:sz w:val="20"/>
                      <w:szCs w:val="20"/>
                    </w:rPr>
                    <w:t>60,000.00</w:t>
                  </w:r>
                </w:p>
              </w:tc>
            </w:tr>
          </w:tbl>
          <w:p>
            <w:pPr>
              <w:widowControl/>
              <w:jc w:val="center"/>
              <w:rPr>
                <w:rFonts w:ascii="Arial" w:hAnsi="Arial" w:cs="Arial"/>
                <w:b/>
                <w:bCs/>
                <w:color w:val="000000"/>
                <w:kern w:val="0"/>
                <w:sz w:val="20"/>
                <w:szCs w:val="20"/>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400" w:type="dxa"/>
            <w:tcBorders>
              <w:left w:val="nil"/>
              <w:right w:val="nil"/>
            </w:tcBorders>
            <w:shd w:val="clear" w:color="auto" w:fill="D3DFEE" w:themeFill="accent1" w:themeFillTint="3F"/>
          </w:tcPr>
          <w:p>
            <w:pPr>
              <w:widowControl/>
              <w:jc w:val="center"/>
              <w:rPr>
                <w:rFonts w:ascii="Arial" w:hAnsi="Arial" w:cs="Arial"/>
                <w:b/>
                <w:bCs/>
                <w:color w:val="000000"/>
                <w:kern w:val="0"/>
                <w:sz w:val="20"/>
                <w:szCs w:val="20"/>
              </w:rPr>
            </w:pPr>
            <w:r>
              <w:rPr>
                <w:rFonts w:ascii="Arial" w:hAnsi="Arial" w:cs="Arial"/>
                <w:b/>
                <w:bCs/>
                <w:color w:val="365F91"/>
                <w:kern w:val="0"/>
                <w:sz w:val="20"/>
                <w:szCs w:val="20"/>
              </w:rPr>
              <w:drawing>
                <wp:inline distT="0" distB="0" distL="0" distR="0">
                  <wp:extent cx="707390" cy="845185"/>
                  <wp:effectExtent l="19050" t="0" r="0" b="0"/>
                  <wp:docPr id="12" name="图片 12" descr="http://127.0.0.1:8082/BSTCS/image/IS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127.0.0.1:8082/BSTCS/image/ISO2.png"/>
                          <pic:cNvPicPr>
                            <a:picLocks noChangeAspect="1" noChangeArrowheads="1"/>
                          </pic:cNvPicPr>
                        </pic:nvPicPr>
                        <pic:blipFill>
                          <a:blip r:embed="rId17"/>
                          <a:srcRect/>
                          <a:stretch>
                            <a:fillRect/>
                          </a:stretch>
                        </pic:blipFill>
                        <pic:spPr>
                          <a:xfrm>
                            <a:off x="0" y="0"/>
                            <a:ext cx="707390" cy="845185"/>
                          </a:xfrm>
                          <a:prstGeom prst="rect">
                            <a:avLst/>
                          </a:prstGeom>
                          <a:noFill/>
                          <a:ln w="9525">
                            <a:noFill/>
                            <a:miter lim="800000"/>
                            <a:headEnd/>
                            <a:tailEnd/>
                          </a:ln>
                        </pic:spPr>
                      </pic:pic>
                    </a:graphicData>
                  </a:graphic>
                </wp:inline>
              </w:drawing>
            </w:r>
          </w:p>
        </w:tc>
        <w:tc>
          <w:tcPr>
            <w:tcW w:w="7308" w:type="dxa"/>
            <w:tcBorders>
              <w:left w:val="nil"/>
              <w:right w:val="nil"/>
            </w:tcBorders>
            <w:shd w:val="clear" w:color="auto" w:fill="D3DFEE" w:themeFill="accent1" w:themeFillTint="3F"/>
          </w:tcPr>
          <w:tbl>
            <w:tblPr>
              <w:tblStyle w:val="10"/>
              <w:tblW w:w="7278" w:type="dxa"/>
              <w:tblInd w:w="0" w:type="dxa"/>
              <w:tblBorders>
                <w:top w:val="single" w:color="9BBB59" w:sz="8" w:space="0"/>
                <w:left w:val="none" w:color="auto" w:sz="0" w:space="0"/>
                <w:bottom w:val="single" w:color="9BBB59"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2"/>
              <w:gridCol w:w="3826"/>
            </w:tblGrid>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Borders>
                    <w:top w:val="single" w:color="9BBB59" w:themeColor="accent3" w:sz="8" w:space="0"/>
                    <w:left w:val="nil"/>
                    <w:bottom w:val="single" w:color="9BBB59" w:themeColor="accent3" w:sz="8" w:space="0"/>
                    <w:right w:val="nil"/>
                  </w:tcBorders>
                </w:tcPr>
                <w:p>
                  <w:pPr>
                    <w:widowControl/>
                    <w:jc w:val="right"/>
                    <w:rPr>
                      <w:rFonts w:ascii="Arial" w:hAnsi="Arial" w:cs="Arial"/>
                      <w:b/>
                      <w:bCs/>
                      <w:color w:val="000000"/>
                      <w:kern w:val="0"/>
                      <w:sz w:val="20"/>
                      <w:szCs w:val="20"/>
                    </w:rPr>
                  </w:pPr>
                  <w:r>
                    <w:rPr>
                      <w:rFonts w:ascii="Arial" w:hAnsi="Arial" w:cs="Arial"/>
                      <w:b/>
                      <w:bCs/>
                      <w:color w:val="000000"/>
                      <w:kern w:val="0"/>
                      <w:sz w:val="20"/>
                      <w:szCs w:val="20"/>
                    </w:rPr>
                    <w:t>认证名称</w:t>
                  </w:r>
                </w:p>
              </w:tc>
              <w:tc>
                <w:tcPr>
                  <w:tcW w:w="3804" w:type="dxa"/>
                  <w:tcBorders>
                    <w:top w:val="single" w:color="9BBB59" w:themeColor="accent3" w:sz="8" w:space="0"/>
                    <w:left w:val="nil"/>
                    <w:bottom w:val="single" w:color="9BBB59" w:themeColor="accent3" w:sz="8" w:space="0"/>
                    <w:right w:val="nil"/>
                  </w:tcBorders>
                </w:tcPr>
                <w:p>
                  <w:pPr>
                    <w:widowControl/>
                    <w:jc w:val="center"/>
                    <w:rPr>
                      <w:rFonts w:ascii="Arial" w:hAnsi="Arial" w:cs="Arial"/>
                      <w:b/>
                      <w:bCs/>
                      <w:color w:val="000000"/>
                      <w:kern w:val="0"/>
                      <w:sz w:val="20"/>
                      <w:szCs w:val="20"/>
                    </w:rPr>
                  </w:pPr>
                  <w:r>
                    <w:rPr>
                      <w:rFonts w:ascii="Arial" w:hAnsi="Arial" w:cs="Arial"/>
                      <w:b/>
                      <w:bCs/>
                      <w:color w:val="000000"/>
                      <w:sz w:val="20"/>
                      <w:szCs w:val="20"/>
                    </w:rPr>
                    <w:t>SRRC认证</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Borders>
                    <w:left w:val="nil"/>
                    <w:right w:val="nil"/>
                  </w:tcBorders>
                  <w:shd w:val="clear" w:color="auto" w:fill="E6EED5" w:themeFill="accent3"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认证周期</w:t>
                  </w:r>
                </w:p>
              </w:tc>
              <w:tc>
                <w:tcPr>
                  <w:tcW w:w="3804" w:type="dxa"/>
                  <w:tcBorders>
                    <w:left w:val="nil"/>
                    <w:right w:val="nil"/>
                  </w:tcBorders>
                  <w:shd w:val="clear" w:color="auto" w:fill="E6EED5" w:themeFill="accent3" w:themeFillTint="3F"/>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每期费用</w:t>
                  </w:r>
                </w:p>
              </w:tc>
              <w:tc>
                <w:tcPr>
                  <w:tcW w:w="3804" w:type="dxa"/>
                </w:tcPr>
                <w:p>
                  <w:pPr>
                    <w:widowControl/>
                    <w:jc w:val="center"/>
                    <w:rPr>
                      <w:rFonts w:ascii="Arial" w:hAnsi="Arial" w:cs="Arial"/>
                      <w:color w:val="000000"/>
                      <w:kern w:val="0"/>
                      <w:sz w:val="20"/>
                      <w:szCs w:val="20"/>
                    </w:rPr>
                  </w:pPr>
                  <w:r>
                    <w:rPr>
                      <w:rFonts w:ascii="Arial" w:hAnsi="Arial" w:cs="Arial"/>
                      <w:color w:val="000000"/>
                      <w:kern w:val="0"/>
                      <w:sz w:val="20"/>
                      <w:szCs w:val="20"/>
                    </w:rPr>
                    <w:t>30,000.00</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432" w:type="dxa"/>
                  <w:tcBorders>
                    <w:left w:val="nil"/>
                    <w:right w:val="nil"/>
                  </w:tcBorders>
                  <w:shd w:val="clear" w:color="auto" w:fill="E6EED5" w:themeFill="accent3"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总费用</w:t>
                  </w:r>
                </w:p>
              </w:tc>
              <w:tc>
                <w:tcPr>
                  <w:tcW w:w="3804" w:type="dxa"/>
                  <w:tcBorders>
                    <w:left w:val="nil"/>
                    <w:right w:val="nil"/>
                  </w:tcBorders>
                  <w:shd w:val="clear" w:color="auto" w:fill="E6EED5" w:themeFill="accent3" w:themeFillTint="3F"/>
                </w:tcPr>
                <w:p>
                  <w:pPr>
                    <w:widowControl/>
                    <w:jc w:val="center"/>
                    <w:rPr>
                      <w:rFonts w:ascii="Arial" w:hAnsi="Arial" w:cs="Arial"/>
                      <w:color w:val="000000"/>
                      <w:kern w:val="0"/>
                      <w:sz w:val="20"/>
                      <w:szCs w:val="20"/>
                    </w:rPr>
                  </w:pPr>
                  <w:r>
                    <w:rPr>
                      <w:rFonts w:ascii="Arial" w:hAnsi="Arial" w:cs="Arial"/>
                      <w:color w:val="000000"/>
                      <w:kern w:val="0"/>
                      <w:sz w:val="20"/>
                      <w:szCs w:val="20"/>
                    </w:rPr>
                    <w:t>90,000.00</w:t>
                  </w:r>
                </w:p>
              </w:tc>
            </w:tr>
          </w:tbl>
          <w:p>
            <w:pPr>
              <w:widowControl/>
              <w:jc w:val="center"/>
              <w:rPr>
                <w:rFonts w:ascii="Arial" w:hAnsi="Arial" w:cs="Arial"/>
                <w:color w:val="000000"/>
                <w:kern w:val="0"/>
                <w:sz w:val="20"/>
                <w:szCs w:val="20"/>
              </w:rPr>
            </w:pPr>
          </w:p>
        </w:tc>
      </w:tr>
    </w:tbl>
    <w:p>
      <w:pPr>
        <w:autoSpaceDE w:val="0"/>
        <w:autoSpaceDN w:val="0"/>
        <w:rPr>
          <w:rFonts w:ascii="宋体" w:hAnsi="宋体" w:cs="宋体"/>
          <w:b/>
          <w:bCs/>
          <w:color w:val="000000"/>
          <w:kern w:val="0"/>
          <w:sz w:val="20"/>
          <w:szCs w:val="20"/>
        </w:rPr>
      </w:pPr>
    </w:p>
    <w:p>
      <w:pPr>
        <w:autoSpaceDE w:val="0"/>
        <w:autoSpaceDN w:val="0"/>
        <w:rPr>
          <w:rFonts w:asciiTheme="minorEastAsia" w:hAnsiTheme="minorEastAsia" w:eastAsiaTheme="minorEastAsia"/>
          <w:color w:val="000000"/>
          <w:szCs w:val="21"/>
        </w:rPr>
      </w:pPr>
      <w:r>
        <w:rPr>
          <w:rFonts w:hint="eastAsia" w:ascii="宋体" w:hAnsi="宋体" w:cs="宋体"/>
          <w:bCs/>
          <w:color w:val="000000"/>
          <w:kern w:val="0"/>
          <w:szCs w:val="21"/>
        </w:rPr>
        <w:t>6.市场资质认证要求</w:t>
      </w:r>
      <w:r>
        <w:rPr>
          <w:rFonts w:hint="eastAsia" w:ascii="宋体" w:hAnsi="宋体" w:cs="宋体"/>
          <w:color w:val="000000"/>
          <w:kern w:val="0"/>
          <w:sz w:val="20"/>
          <w:szCs w:val="20"/>
        </w:rPr>
        <w:br w:type="textWrapping"/>
      </w:r>
      <w:r>
        <w:rPr>
          <w:rFonts w:hint="eastAsia" w:cs="宋体" w:asciiTheme="minorEastAsia" w:hAnsiTheme="minorEastAsia" w:eastAsiaTheme="minorEastAsia"/>
          <w:color w:val="000000"/>
          <w:kern w:val="0"/>
          <w:szCs w:val="21"/>
        </w:rPr>
        <w:t>在不同的市场下有不同的订单对资质认证要求各不相同，以下是各市场对资质认证要求的详细情</w:t>
      </w:r>
      <w:r>
        <w:rPr>
          <w:rFonts w:hint="eastAsia" w:asciiTheme="minorEastAsia" w:hAnsiTheme="minorEastAsia" w:eastAsiaTheme="minorEastAsia"/>
          <w:color w:val="000000"/>
          <w:szCs w:val="21"/>
        </w:rPr>
        <w:t xml:space="preserve">况： </w:t>
      </w:r>
    </w:p>
    <w:p>
      <w:pPr>
        <w:autoSpaceDE w:val="0"/>
        <w:autoSpaceDN w:val="0"/>
        <w:rPr>
          <w:rFonts w:ascii="Arial" w:hAnsi="Arial" w:eastAsiaTheme="minorEastAsia"/>
          <w:color w:val="000000"/>
        </w:rPr>
      </w:pPr>
      <w:r>
        <w:drawing>
          <wp:inline distT="0" distB="0" distL="0" distR="0">
            <wp:extent cx="4772025" cy="27908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4780595" cy="2795491"/>
                    </a:xfrm>
                    <a:prstGeom prst="rect">
                      <a:avLst/>
                    </a:prstGeom>
                  </pic:spPr>
                </pic:pic>
              </a:graphicData>
            </a:graphic>
          </wp:inline>
        </w:drawing>
      </w:r>
    </w:p>
    <w:p>
      <w:pPr>
        <w:autoSpaceDE w:val="0"/>
        <w:autoSpaceDN w:val="0"/>
        <w:rPr>
          <w:rFonts w:ascii="Arial" w:hAnsi="Arial" w:eastAsiaTheme="minorEastAsia"/>
          <w:color w:val="000000"/>
        </w:rPr>
      </w:pPr>
      <w:r>
        <w:drawing>
          <wp:inline distT="0" distB="0" distL="0" distR="0">
            <wp:extent cx="4810125" cy="1943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4827191" cy="1949823"/>
                    </a:xfrm>
                    <a:prstGeom prst="rect">
                      <a:avLst/>
                    </a:prstGeom>
                  </pic:spPr>
                </pic:pic>
              </a:graphicData>
            </a:graphic>
          </wp:inline>
        </w:drawing>
      </w:r>
    </w:p>
    <w:p>
      <w:pPr>
        <w:autoSpaceDE w:val="0"/>
        <w:autoSpaceDN w:val="0"/>
        <w:rPr>
          <w:rFonts w:ascii="Arial" w:hAnsi="Arial" w:eastAsiaTheme="minorEastAsia"/>
          <w:color w:val="000000"/>
        </w:rPr>
      </w:pPr>
      <w:r>
        <w:drawing>
          <wp:inline distT="0" distB="0" distL="0" distR="0">
            <wp:extent cx="4872355" cy="29337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4874223" cy="2934745"/>
                    </a:xfrm>
                    <a:prstGeom prst="rect">
                      <a:avLst/>
                    </a:prstGeom>
                  </pic:spPr>
                </pic:pic>
              </a:graphicData>
            </a:graphic>
          </wp:inline>
        </w:drawing>
      </w:r>
    </w:p>
    <w:p>
      <w:pPr>
        <w:autoSpaceDE w:val="0"/>
        <w:autoSpaceDN w:val="0"/>
        <w:rPr>
          <w:rFonts w:ascii="Arial" w:hAnsi="Arial" w:eastAsiaTheme="minorEastAsia"/>
          <w:color w:val="000000"/>
        </w:rPr>
      </w:pPr>
      <w:r>
        <w:rPr>
          <w:rFonts w:hint="eastAsia" w:ascii="Arial" w:hAnsi="Arial" w:eastAsiaTheme="minorEastAsia"/>
          <w:color w:val="000000"/>
        </w:rPr>
        <w:t>7</w:t>
      </w:r>
      <w:r>
        <w:rPr>
          <w:rFonts w:hint="eastAsia" w:ascii="Arial" w:hAnsi="Arial" w:eastAsia="Arial"/>
          <w:color w:val="000000"/>
        </w:rPr>
        <w:t>.制造成本</w:t>
      </w:r>
    </w:p>
    <w:p>
      <w:pPr>
        <w:autoSpaceDE w:val="0"/>
        <w:autoSpaceDN w:val="0"/>
      </w:pPr>
      <w:r>
        <w:rPr>
          <w:rFonts w:hint="eastAsia" w:ascii="Arial" w:hAnsi="Arial" w:eastAsia="Arial"/>
          <w:color w:val="000000"/>
        </w:rPr>
        <w:t>成品固定成本组成：</w:t>
      </w:r>
      <w:r>
        <w:rPr>
          <w:rFonts w:hint="eastAsia" w:ascii="Arial" w:hAnsi="Arial" w:eastAsia="Arial"/>
          <w:color w:val="000000"/>
        </w:rPr>
        <w:br w:type="textWrapping"/>
      </w:r>
      <w:r>
        <w:rPr>
          <w:rFonts w:hint="eastAsia" w:ascii="Arial" w:hAnsi="Arial" w:eastAsia="Arial"/>
          <w:color w:val="000000"/>
        </w:rPr>
        <w:t>原材料采购到最终成品下线过程中，最终下线成品将包含以下成本：</w:t>
      </w:r>
      <w:r>
        <w:rPr>
          <w:rFonts w:hint="eastAsia" w:ascii="Arial" w:hAnsi="Arial" w:eastAsia="Arial"/>
          <w:color w:val="000000"/>
        </w:rPr>
        <w:br w:type="textWrapping"/>
      </w:r>
      <w:r>
        <w:rPr>
          <w:rFonts w:hint="eastAsia" w:ascii="Arial" w:hAnsi="Arial" w:eastAsia="Arial"/>
          <w:color w:val="000000"/>
        </w:rPr>
        <w:t>a.每个原材料采购时不含税实际成交的价格；</w:t>
      </w:r>
      <w:r>
        <w:rPr>
          <w:rFonts w:hint="eastAsia" w:ascii="Arial" w:hAnsi="Arial" w:eastAsia="Arial"/>
          <w:color w:val="000000"/>
        </w:rPr>
        <w:br w:type="textWrapping"/>
      </w:r>
      <w:r>
        <w:rPr>
          <w:rFonts w:hint="eastAsia" w:ascii="Arial" w:hAnsi="Arial" w:eastAsia="Arial"/>
          <w:color w:val="000000"/>
        </w:rPr>
        <w:t>b.生产产品所使用的厂房租金或折旧合计，平均分摊法分摊到每个成品;</w:t>
      </w:r>
      <w:r>
        <w:rPr>
          <w:rFonts w:hint="eastAsia" w:ascii="Arial" w:hAnsi="Arial" w:eastAsia="Arial"/>
          <w:color w:val="000000"/>
        </w:rPr>
        <w:br w:type="textWrapping"/>
      </w:r>
      <w:r>
        <w:rPr>
          <w:rFonts w:hint="eastAsia" w:ascii="Arial" w:hAnsi="Arial" w:eastAsia="Arial"/>
          <w:color w:val="000000"/>
        </w:rPr>
        <w:t>c.生产产品所使用的设备维护、设备折旧费用、设备搬迁、设备升级，平均分摊法分摊到该生产线上的每个成品；</w:t>
      </w:r>
      <w:r>
        <w:rPr>
          <w:rFonts w:hint="eastAsia" w:ascii="Arial" w:hAnsi="Arial" w:eastAsia="Arial"/>
          <w:color w:val="000000"/>
        </w:rPr>
        <w:br w:type="textWrapping"/>
      </w:r>
      <w:r>
        <w:rPr>
          <w:rFonts w:hint="eastAsia" w:ascii="Arial" w:hAnsi="Arial" w:eastAsia="Arial"/>
          <w:color w:val="000000"/>
        </w:rPr>
        <w:t>d.生产产品所对应的工人工资、五险合计，平均分摊法分摊到每个成品；</w:t>
      </w:r>
      <w:r>
        <w:rPr>
          <w:rFonts w:hint="eastAsia" w:ascii="Arial" w:hAnsi="Arial" w:eastAsia="Arial"/>
          <w:color w:val="000000"/>
        </w:rPr>
        <w:br w:type="textWrapping"/>
      </w:r>
      <w:r>
        <w:rPr>
          <w:rFonts w:hint="eastAsia" w:ascii="Arial" w:hAnsi="Arial" w:eastAsia="Arial"/>
          <w:color w:val="000000"/>
        </w:rPr>
        <w:t>e.每个产品生产过程中产生的产品加工费；</w:t>
      </w:r>
      <w:r>
        <w:rPr>
          <w:rFonts w:hint="eastAsia" w:ascii="Arial" w:hAnsi="Arial" w:eastAsia="Arial"/>
          <w:color w:val="000000"/>
        </w:rPr>
        <w:br w:type="textWrapping"/>
      </w:r>
      <w:r>
        <w:rPr>
          <w:rFonts w:hint="eastAsia" w:ascii="Arial" w:hAnsi="Arial" w:eastAsia="Arial"/>
          <w:color w:val="000000"/>
        </w:rPr>
        <w:t>f.生产线生产过程中产生的废品部分成本，平均分摊法分摊到每个成品；</w:t>
      </w:r>
      <w:r>
        <w:rPr>
          <w:rFonts w:hint="eastAsia" w:ascii="Arial" w:hAnsi="Arial" w:eastAsia="Arial"/>
          <w:color w:val="000000"/>
        </w:rPr>
        <w:br w:type="textWrapping"/>
      </w:r>
      <w:r>
        <w:rPr>
          <w:rFonts w:hint="eastAsia" w:ascii="Arial" w:hAnsi="Arial" w:eastAsia="Arial"/>
          <w:color w:val="000000"/>
        </w:rPr>
        <w:br w:type="textWrapping"/>
      </w:r>
      <w:r>
        <w:rPr>
          <w:rFonts w:hint="eastAsia" w:ascii="Arial" w:hAnsi="Arial" w:eastAsia="Arial"/>
          <w:color w:val="000000"/>
        </w:rPr>
        <w:t>原材料库存管理：</w:t>
      </w:r>
      <w:r>
        <w:rPr>
          <w:rFonts w:hint="eastAsia" w:ascii="Arial" w:hAnsi="Arial" w:eastAsia="Arial"/>
          <w:color w:val="000000"/>
        </w:rPr>
        <w:br w:type="textWrapping"/>
      </w:r>
      <w:r>
        <w:rPr>
          <w:rFonts w:hint="eastAsia" w:ascii="Arial" w:hAnsi="Arial" w:eastAsia="Arial"/>
          <w:color w:val="000000"/>
        </w:rPr>
        <w:t>先进先出法，最先购买入库的原材料批次将被优先投入生产线进行生产。</w:t>
      </w:r>
      <w:r>
        <w:rPr>
          <w:rFonts w:hint="eastAsia" w:ascii="Arial" w:hAnsi="Arial" w:eastAsia="Arial"/>
          <w:color w:val="00000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Cs w:val="21"/>
        </w:rPr>
        <w:t>成品库存管理：</w:t>
      </w:r>
      <w:r>
        <w:rPr>
          <w:rFonts w:hint="eastAsia" w:ascii="宋体" w:hAnsi="宋体" w:cs="宋体"/>
          <w:color w:val="000000"/>
          <w:kern w:val="0"/>
          <w:szCs w:val="21"/>
        </w:rPr>
        <w:br w:type="textWrapping"/>
      </w:r>
      <w:r>
        <w:rPr>
          <w:rFonts w:hint="eastAsia" w:ascii="宋体" w:hAnsi="宋体" w:cs="宋体"/>
          <w:color w:val="000000"/>
          <w:kern w:val="0"/>
          <w:szCs w:val="21"/>
        </w:rPr>
        <w:t>先进先出法，最先下线入库的成品将被优先用于交付订单需求</w:t>
      </w:r>
      <w:r>
        <w:rPr>
          <w:rFonts w:hint="eastAsia" w:ascii="宋体" w:hAnsi="宋体" w:cs="宋体"/>
          <w:color w:val="000000"/>
          <w:kern w:val="0"/>
          <w:sz w:val="20"/>
          <w:szCs w:val="20"/>
        </w:rPr>
        <w:t>。</w:t>
      </w:r>
    </w:p>
    <w:p>
      <w:pPr>
        <w:pStyle w:val="2"/>
        <w:numPr>
          <w:ilvl w:val="0"/>
          <w:numId w:val="1"/>
        </w:numPr>
        <w:rPr>
          <w:rStyle w:val="16"/>
          <w:b w:val="0"/>
          <w:bCs w:val="0"/>
          <w:sz w:val="32"/>
          <w:szCs w:val="32"/>
        </w:rPr>
      </w:pPr>
      <w:bookmarkStart w:id="5" w:name="_Toc380594059"/>
      <w:r>
        <w:rPr>
          <w:rStyle w:val="16"/>
          <w:rFonts w:hint="eastAsia"/>
          <w:b w:val="0"/>
          <w:bCs w:val="0"/>
          <w:sz w:val="32"/>
          <w:szCs w:val="32"/>
        </w:rPr>
        <w:t>市场营销</w:t>
      </w:r>
      <w:bookmarkEnd w:id="5"/>
    </w:p>
    <w:p>
      <w:pPr>
        <w:widowControl/>
        <w:jc w:val="left"/>
        <w:rPr>
          <w:rFonts w:ascii="宋体" w:hAnsi="宋体" w:cs="宋体"/>
          <w:color w:val="000000"/>
          <w:kern w:val="0"/>
          <w:szCs w:val="21"/>
        </w:rPr>
      </w:pPr>
      <w:r>
        <w:rPr>
          <w:rFonts w:hint="eastAsia" w:ascii="宋体" w:hAnsi="宋体" w:cs="宋体"/>
          <w:color w:val="000000"/>
          <w:kern w:val="0"/>
          <w:szCs w:val="21"/>
        </w:rPr>
        <w:t>市场营销分为渠道开发、产品推广宣传、销售人员招聘、培训、订单报价等多项工作:</w:t>
      </w:r>
    </w:p>
    <w:p>
      <w:pPr>
        <w:widowControl/>
        <w:numPr>
          <w:ilvl w:val="0"/>
          <w:numId w:val="5"/>
        </w:numPr>
        <w:jc w:val="left"/>
        <w:rPr>
          <w:rFonts w:ascii="宋体" w:hAnsi="宋体" w:cs="宋体"/>
          <w:color w:val="000000"/>
          <w:kern w:val="0"/>
          <w:szCs w:val="21"/>
        </w:rPr>
      </w:pPr>
      <w:r>
        <w:rPr>
          <w:rFonts w:hint="eastAsia" w:ascii="宋体" w:hAnsi="宋体" w:cs="宋体"/>
          <w:b/>
          <w:bCs/>
          <w:color w:val="000000"/>
          <w:kern w:val="0"/>
          <w:szCs w:val="21"/>
        </w:rPr>
        <w:t>渠道开发</w:t>
      </w:r>
      <w:r>
        <w:rPr>
          <w:rFonts w:hint="eastAsia" w:ascii="宋体" w:hAnsi="宋体" w:cs="宋体"/>
          <w:color w:val="000000"/>
          <w:kern w:val="0"/>
          <w:szCs w:val="21"/>
        </w:rPr>
        <w:t xml:space="preserve"> 整个市场根据地区划分为多个市场区域，每个市场区域下有一个或多个销售渠道可供每个公司开拓，开发销售渠道除了需要花费一定的开发周期外，每期还需要一笔开发费用。每个公司可以通过不同的市场区域下已经开发完成的销售渠道，把各自的产品销售到消费者手中。 </w:t>
      </w:r>
    </w:p>
    <w:p>
      <w:pPr>
        <w:widowControl/>
        <w:ind w:left="360"/>
        <w:jc w:val="left"/>
        <w:rPr>
          <w:rFonts w:ascii="宋体" w:hAnsi="宋体" w:cs="宋体"/>
          <w:color w:val="000000"/>
          <w:kern w:val="0"/>
          <w:sz w:val="20"/>
          <w:szCs w:val="20"/>
        </w:rPr>
      </w:pPr>
    </w:p>
    <w:tbl>
      <w:tblPr>
        <w:tblStyle w:val="28"/>
        <w:tblW w:w="0" w:type="auto"/>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Layout w:type="autofit"/>
        <w:tblCellMar>
          <w:top w:w="0" w:type="dxa"/>
          <w:left w:w="108" w:type="dxa"/>
          <w:bottom w:w="0" w:type="dxa"/>
          <w:right w:w="108" w:type="dxa"/>
        </w:tblCellMar>
      </w:tblPr>
      <w:tblGrid>
        <w:gridCol w:w="653"/>
        <w:gridCol w:w="1106"/>
        <w:gridCol w:w="1106"/>
        <w:gridCol w:w="1106"/>
        <w:gridCol w:w="1106"/>
        <w:gridCol w:w="1233"/>
        <w:gridCol w:w="1106"/>
        <w:gridCol w:w="1106"/>
      </w:tblGrid>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73"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pPr>
              <w:autoSpaceDE w:val="0"/>
              <w:autoSpaceDN w:val="0"/>
              <w:adjustRightInd w:val="0"/>
              <w:rPr>
                <w:rFonts w:ascii="宋体" w:hAnsi="Times New Roman" w:cs="宋体"/>
                <w:color w:val="000000"/>
                <w:kern w:val="0"/>
                <w:sz w:val="20"/>
                <w:szCs w:val="20"/>
              </w:rPr>
            </w:pPr>
            <w:r>
              <w:rPr>
                <w:rFonts w:hint="eastAsia" w:ascii="宋体" w:hAnsi="Times New Roman" w:cs="宋体"/>
                <w:color w:val="000000"/>
                <w:kern w:val="0"/>
                <w:sz w:val="20"/>
                <w:szCs w:val="20"/>
              </w:rPr>
              <w:t>渠道名称</w:t>
            </w:r>
          </w:p>
        </w:tc>
        <w:tc>
          <w:tcPr>
            <w:tcW w:w="7503" w:type="dxa"/>
            <w:gridSpan w:val="7"/>
            <w:tcBorders>
              <w:top w:val="single" w:color="4F81BD" w:themeColor="accent1" w:sz="8" w:space="0"/>
              <w:bottom w:val="single" w:color="4F81BD" w:themeColor="accent1" w:sz="8" w:space="0"/>
              <w:right w:val="single" w:color="4F81BD" w:themeColor="accent1" w:sz="8" w:space="0"/>
              <w:insideH w:val="single" w:sz="8" w:space="0"/>
            </w:tcBorders>
          </w:tcPr>
          <w:p>
            <w:pPr>
              <w:autoSpaceDE w:val="0"/>
              <w:autoSpaceDN w:val="0"/>
              <w:adjustRightInd w:val="0"/>
              <w:jc w:val="center"/>
              <w:rPr>
                <w:rFonts w:ascii="宋体" w:hAnsi="Times New Roman" w:cs="宋体"/>
                <w:color w:val="000000"/>
                <w:kern w:val="0"/>
                <w:sz w:val="20"/>
                <w:szCs w:val="20"/>
              </w:rPr>
            </w:pPr>
            <w:r>
              <w:rPr>
                <w:rFonts w:hint="eastAsia" w:ascii="宋体" w:hAnsi="Times New Roman" w:cs="宋体"/>
                <w:color w:val="000000"/>
                <w:kern w:val="0"/>
                <w:sz w:val="20"/>
                <w:szCs w:val="20"/>
              </w:rPr>
              <w:t>零售渠道</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73" w:type="dxa"/>
            <w:tcBorders>
              <w:left w:val="single" w:color="4F81BD" w:themeColor="accent1" w:sz="8" w:space="0"/>
              <w:right w:val="single" w:color="4F81BD" w:themeColor="accent1" w:sz="8" w:space="0"/>
              <w:insideV w:val="single" w:sz="8" w:space="0"/>
            </w:tcBorders>
          </w:tcPr>
          <w:p>
            <w:pPr>
              <w:autoSpaceDE w:val="0"/>
              <w:autoSpaceDN w:val="0"/>
              <w:adjustRightInd w:val="0"/>
              <w:rPr>
                <w:rFonts w:ascii="宋体" w:hAnsi="Times New Roman" w:cs="宋体"/>
                <w:color w:val="000000"/>
                <w:kern w:val="0"/>
                <w:sz w:val="20"/>
                <w:szCs w:val="20"/>
              </w:rPr>
            </w:pPr>
            <w:r>
              <w:rPr>
                <w:rFonts w:hint="eastAsia" w:ascii="宋体" w:hAnsi="Times New Roman" w:cs="宋体"/>
                <w:color w:val="000000"/>
                <w:kern w:val="0"/>
                <w:sz w:val="20"/>
                <w:szCs w:val="20"/>
              </w:rPr>
              <w:t>所属市场</w:t>
            </w:r>
          </w:p>
        </w:tc>
        <w:tc>
          <w:tcPr>
            <w:tcW w:w="1106" w:type="dxa"/>
          </w:tcPr>
          <w:p>
            <w:pPr>
              <w:autoSpaceDE w:val="0"/>
              <w:autoSpaceDN w:val="0"/>
              <w:adjustRightInd w:val="0"/>
              <w:jc w:val="left"/>
              <w:rPr>
                <w:rFonts w:ascii="宋体" w:hAnsi="Times New Roman" w:cs="宋体"/>
                <w:color w:val="000000"/>
                <w:kern w:val="0"/>
                <w:sz w:val="20"/>
                <w:szCs w:val="20"/>
              </w:rPr>
            </w:pPr>
            <w:r>
              <w:rPr>
                <w:rFonts w:hint="eastAsia" w:ascii="宋体" w:hAnsi="Times New Roman" w:cs="宋体"/>
                <w:color w:val="000000"/>
                <w:kern w:val="0"/>
                <w:sz w:val="20"/>
                <w:szCs w:val="20"/>
              </w:rPr>
              <w:t>华东</w:t>
            </w:r>
          </w:p>
        </w:tc>
        <w:tc>
          <w:tcPr>
            <w:tcW w:w="1106" w:type="dxa"/>
            <w:tcBorders>
              <w:left w:val="single" w:color="4F81BD" w:themeColor="accent1" w:sz="8" w:space="0"/>
              <w:right w:val="single" w:color="4F81BD" w:themeColor="accent1" w:sz="8" w:space="0"/>
              <w:insideV w:val="single" w:sz="8" w:space="0"/>
            </w:tcBorders>
          </w:tcPr>
          <w:p>
            <w:pPr>
              <w:autoSpaceDE w:val="0"/>
              <w:autoSpaceDN w:val="0"/>
              <w:adjustRightInd w:val="0"/>
              <w:jc w:val="left"/>
              <w:rPr>
                <w:rFonts w:ascii="宋体" w:hAnsi="Times New Roman" w:cs="宋体"/>
                <w:color w:val="000000"/>
                <w:kern w:val="0"/>
                <w:sz w:val="20"/>
                <w:szCs w:val="20"/>
              </w:rPr>
            </w:pPr>
            <w:r>
              <w:rPr>
                <w:rFonts w:hint="eastAsia" w:ascii="宋体" w:hAnsi="Times New Roman" w:cs="宋体"/>
                <w:color w:val="000000"/>
                <w:kern w:val="0"/>
                <w:sz w:val="20"/>
                <w:szCs w:val="20"/>
              </w:rPr>
              <w:t>华北</w:t>
            </w:r>
          </w:p>
        </w:tc>
        <w:tc>
          <w:tcPr>
            <w:tcW w:w="1106" w:type="dxa"/>
          </w:tcPr>
          <w:p>
            <w:pPr>
              <w:autoSpaceDE w:val="0"/>
              <w:autoSpaceDN w:val="0"/>
              <w:adjustRightInd w:val="0"/>
              <w:jc w:val="left"/>
              <w:rPr>
                <w:rFonts w:ascii="宋体" w:hAnsi="Times New Roman" w:cs="宋体"/>
                <w:color w:val="000000"/>
                <w:kern w:val="0"/>
                <w:sz w:val="20"/>
                <w:szCs w:val="20"/>
              </w:rPr>
            </w:pPr>
            <w:r>
              <w:rPr>
                <w:rFonts w:hint="eastAsia" w:ascii="宋体" w:hAnsi="Times New Roman" w:cs="宋体"/>
                <w:color w:val="000000"/>
                <w:kern w:val="0"/>
                <w:sz w:val="20"/>
                <w:szCs w:val="20"/>
              </w:rPr>
              <w:t>华南</w:t>
            </w:r>
          </w:p>
        </w:tc>
        <w:tc>
          <w:tcPr>
            <w:tcW w:w="1106" w:type="dxa"/>
            <w:tcBorders>
              <w:left w:val="single" w:color="4F81BD" w:themeColor="accent1" w:sz="8" w:space="0"/>
              <w:right w:val="single" w:color="4F81BD" w:themeColor="accent1" w:sz="8" w:space="0"/>
              <w:insideV w:val="single" w:sz="8" w:space="0"/>
            </w:tcBorders>
          </w:tcPr>
          <w:p>
            <w:pPr>
              <w:autoSpaceDE w:val="0"/>
              <w:autoSpaceDN w:val="0"/>
              <w:adjustRightInd w:val="0"/>
              <w:jc w:val="left"/>
              <w:rPr>
                <w:rFonts w:ascii="宋体" w:hAnsi="Times New Roman" w:cs="宋体"/>
                <w:color w:val="000000"/>
                <w:kern w:val="0"/>
                <w:sz w:val="20"/>
                <w:szCs w:val="20"/>
              </w:rPr>
            </w:pPr>
            <w:r>
              <w:rPr>
                <w:rFonts w:hint="eastAsia" w:ascii="宋体" w:hAnsi="Times New Roman" w:cs="宋体"/>
                <w:color w:val="000000"/>
                <w:kern w:val="0"/>
                <w:sz w:val="20"/>
                <w:szCs w:val="20"/>
              </w:rPr>
              <w:t>华中</w:t>
            </w:r>
          </w:p>
        </w:tc>
        <w:tc>
          <w:tcPr>
            <w:tcW w:w="1297" w:type="dxa"/>
          </w:tcPr>
          <w:p>
            <w:pPr>
              <w:autoSpaceDE w:val="0"/>
              <w:autoSpaceDN w:val="0"/>
              <w:adjustRightInd w:val="0"/>
              <w:jc w:val="left"/>
              <w:rPr>
                <w:rFonts w:ascii="宋体" w:hAnsi="Times New Roman" w:cs="宋体"/>
                <w:color w:val="000000"/>
                <w:kern w:val="0"/>
                <w:sz w:val="20"/>
                <w:szCs w:val="20"/>
              </w:rPr>
            </w:pPr>
            <w:r>
              <w:rPr>
                <w:rFonts w:hint="eastAsia" w:ascii="宋体" w:hAnsi="Times New Roman" w:cs="宋体"/>
                <w:color w:val="000000"/>
                <w:kern w:val="0"/>
                <w:sz w:val="20"/>
                <w:szCs w:val="20"/>
              </w:rPr>
              <w:t>西南</w:t>
            </w:r>
          </w:p>
        </w:tc>
        <w:tc>
          <w:tcPr>
            <w:tcW w:w="1106" w:type="dxa"/>
            <w:tcBorders>
              <w:left w:val="single" w:color="4F81BD" w:themeColor="accent1" w:sz="8" w:space="0"/>
              <w:right w:val="single" w:color="4F81BD" w:themeColor="accent1" w:sz="8" w:space="0"/>
              <w:insideV w:val="single" w:sz="8" w:space="0"/>
            </w:tcBorders>
          </w:tcPr>
          <w:p>
            <w:pPr>
              <w:autoSpaceDE w:val="0"/>
              <w:autoSpaceDN w:val="0"/>
              <w:adjustRightInd w:val="0"/>
              <w:jc w:val="left"/>
              <w:rPr>
                <w:rFonts w:ascii="宋体" w:hAnsi="Times New Roman" w:cs="宋体"/>
                <w:color w:val="000000"/>
                <w:kern w:val="0"/>
                <w:sz w:val="20"/>
                <w:szCs w:val="20"/>
              </w:rPr>
            </w:pPr>
            <w:r>
              <w:rPr>
                <w:rFonts w:hint="eastAsia" w:ascii="宋体" w:hAnsi="Times New Roman" w:cs="宋体"/>
                <w:color w:val="000000"/>
                <w:kern w:val="0"/>
                <w:sz w:val="20"/>
                <w:szCs w:val="20"/>
              </w:rPr>
              <w:t>东北</w:t>
            </w:r>
          </w:p>
        </w:tc>
        <w:tc>
          <w:tcPr>
            <w:tcW w:w="676" w:type="dxa"/>
          </w:tcPr>
          <w:p>
            <w:pPr>
              <w:autoSpaceDE w:val="0"/>
              <w:autoSpaceDN w:val="0"/>
              <w:adjustRightInd w:val="0"/>
              <w:jc w:val="left"/>
              <w:rPr>
                <w:rFonts w:ascii="宋体" w:hAnsi="Times New Roman" w:cs="宋体"/>
                <w:color w:val="000000"/>
                <w:kern w:val="0"/>
                <w:sz w:val="20"/>
                <w:szCs w:val="20"/>
              </w:rPr>
            </w:pPr>
            <w:r>
              <w:rPr>
                <w:rFonts w:hint="eastAsia" w:ascii="宋体" w:hAnsi="Times New Roman" w:cs="宋体"/>
                <w:color w:val="000000"/>
                <w:kern w:val="0"/>
                <w:sz w:val="20"/>
                <w:szCs w:val="20"/>
              </w:rPr>
              <w:t>西北</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773"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pPr>
              <w:autoSpaceDE w:val="0"/>
              <w:autoSpaceDN w:val="0"/>
              <w:adjustRightInd w:val="0"/>
              <w:rPr>
                <w:rFonts w:ascii="宋体" w:hAnsi="Times New Roman" w:cs="宋体"/>
                <w:color w:val="000000"/>
                <w:kern w:val="0"/>
                <w:sz w:val="20"/>
                <w:szCs w:val="20"/>
              </w:rPr>
            </w:pPr>
            <w:r>
              <w:rPr>
                <w:rFonts w:hint="eastAsia" w:ascii="宋体" w:hAnsi="Times New Roman" w:cs="宋体"/>
                <w:color w:val="000000"/>
                <w:kern w:val="0"/>
                <w:sz w:val="20"/>
                <w:szCs w:val="20"/>
              </w:rPr>
              <w:t>开发周期</w:t>
            </w:r>
          </w:p>
        </w:tc>
        <w:tc>
          <w:tcPr>
            <w:tcW w:w="1106" w:type="dxa"/>
            <w:tcBorders>
              <w:top w:val="single" w:color="4F81BD" w:themeColor="accent1" w:sz="8" w:space="0"/>
              <w:bottom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 xml:space="preserve">0 </w:t>
            </w:r>
          </w:p>
        </w:tc>
        <w:tc>
          <w:tcPr>
            <w:tcW w:w="1106"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 xml:space="preserve">1 </w:t>
            </w:r>
          </w:p>
        </w:tc>
        <w:tc>
          <w:tcPr>
            <w:tcW w:w="1106" w:type="dxa"/>
            <w:tcBorders>
              <w:top w:val="single" w:color="4F81BD" w:themeColor="accent1" w:sz="8" w:space="0"/>
              <w:bottom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hint="eastAsia" w:ascii="Arial" w:hAnsi="Arial" w:cs="Arial"/>
                <w:color w:val="000000"/>
                <w:kern w:val="0"/>
                <w:sz w:val="20"/>
                <w:szCs w:val="20"/>
              </w:rPr>
              <w:t>1</w:t>
            </w:r>
          </w:p>
        </w:tc>
        <w:tc>
          <w:tcPr>
            <w:tcW w:w="1106"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 xml:space="preserve">2 </w:t>
            </w:r>
          </w:p>
        </w:tc>
        <w:tc>
          <w:tcPr>
            <w:tcW w:w="1297" w:type="dxa"/>
            <w:tcBorders>
              <w:top w:val="single" w:color="4F81BD" w:themeColor="accent1" w:sz="8" w:space="0"/>
              <w:bottom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w:t>
            </w:r>
          </w:p>
        </w:tc>
        <w:tc>
          <w:tcPr>
            <w:tcW w:w="1106"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pPr>
              <w:autoSpaceDE w:val="0"/>
              <w:autoSpaceDN w:val="0"/>
              <w:adjustRightInd w:val="0"/>
              <w:jc w:val="left"/>
              <w:rPr>
                <w:rFonts w:ascii="Arial" w:hAnsi="Arial" w:cs="Arial"/>
                <w:color w:val="000000"/>
                <w:kern w:val="0"/>
                <w:sz w:val="20"/>
                <w:szCs w:val="20"/>
              </w:rPr>
            </w:pPr>
            <w:r>
              <w:rPr>
                <w:rFonts w:hint="eastAsia" w:ascii="Arial" w:hAnsi="Arial" w:cs="Arial"/>
                <w:color w:val="000000"/>
                <w:kern w:val="0"/>
                <w:sz w:val="20"/>
                <w:szCs w:val="20"/>
              </w:rPr>
              <w:t>3</w:t>
            </w:r>
          </w:p>
        </w:tc>
        <w:tc>
          <w:tcPr>
            <w:tcW w:w="676" w:type="dxa"/>
            <w:tcBorders>
              <w:top w:val="single" w:color="4F81BD" w:themeColor="accent1" w:sz="8" w:space="0"/>
              <w:bottom w:val="single" w:color="4F81BD" w:themeColor="accent1" w:sz="8" w:space="0"/>
              <w:right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hint="eastAsia" w:ascii="Arial" w:hAnsi="Arial" w:cs="Arial"/>
                <w:color w:val="000000"/>
                <w:kern w:val="0"/>
                <w:sz w:val="20"/>
                <w:szCs w:val="20"/>
              </w:rPr>
              <w:t>3</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773" w:type="dxa"/>
            <w:tcBorders>
              <w:left w:val="single" w:color="4F81BD" w:themeColor="accent1" w:sz="8" w:space="0"/>
              <w:right w:val="single" w:color="4F81BD" w:themeColor="accent1" w:sz="8" w:space="0"/>
              <w:insideV w:val="single" w:sz="8" w:space="0"/>
            </w:tcBorders>
          </w:tcPr>
          <w:p>
            <w:pPr>
              <w:autoSpaceDE w:val="0"/>
              <w:autoSpaceDN w:val="0"/>
              <w:adjustRightInd w:val="0"/>
              <w:rPr>
                <w:rFonts w:ascii="宋体" w:hAnsi="Times New Roman" w:cs="宋体"/>
                <w:color w:val="000000"/>
                <w:kern w:val="0"/>
                <w:sz w:val="20"/>
                <w:szCs w:val="20"/>
              </w:rPr>
            </w:pPr>
            <w:r>
              <w:rPr>
                <w:rFonts w:hint="eastAsia" w:ascii="宋体" w:hAnsi="Times New Roman" w:cs="宋体"/>
                <w:color w:val="000000"/>
                <w:kern w:val="0"/>
                <w:sz w:val="20"/>
                <w:szCs w:val="20"/>
              </w:rPr>
              <w:t>每期费用</w:t>
            </w:r>
          </w:p>
        </w:tc>
        <w:tc>
          <w:tcPr>
            <w:tcW w:w="1106" w:type="dxa"/>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c>
          <w:tcPr>
            <w:tcW w:w="1106" w:type="dxa"/>
            <w:tcBorders>
              <w:left w:val="single" w:color="4F81BD" w:themeColor="accent1" w:sz="8" w:space="0"/>
              <w:right w:val="single" w:color="4F81BD" w:themeColor="accent1" w:sz="8" w:space="0"/>
              <w:insideV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c>
          <w:tcPr>
            <w:tcW w:w="1106" w:type="dxa"/>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c>
          <w:tcPr>
            <w:tcW w:w="1106" w:type="dxa"/>
            <w:tcBorders>
              <w:left w:val="single" w:color="4F81BD" w:themeColor="accent1" w:sz="8" w:space="0"/>
              <w:right w:val="single" w:color="4F81BD" w:themeColor="accent1" w:sz="8" w:space="0"/>
              <w:insideV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c>
          <w:tcPr>
            <w:tcW w:w="1297" w:type="dxa"/>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c>
          <w:tcPr>
            <w:tcW w:w="1106" w:type="dxa"/>
            <w:tcBorders>
              <w:left w:val="single" w:color="4F81BD" w:themeColor="accent1" w:sz="8" w:space="0"/>
              <w:right w:val="single" w:color="4F81BD" w:themeColor="accent1" w:sz="8" w:space="0"/>
              <w:insideV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c>
          <w:tcPr>
            <w:tcW w:w="676" w:type="dxa"/>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773" w:type="dxa"/>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p>
            <w:pPr>
              <w:autoSpaceDE w:val="0"/>
              <w:autoSpaceDN w:val="0"/>
              <w:adjustRightInd w:val="0"/>
              <w:rPr>
                <w:rFonts w:ascii="宋体" w:hAnsi="Times New Roman" w:cs="宋体"/>
                <w:color w:val="000000"/>
                <w:kern w:val="0"/>
                <w:sz w:val="20"/>
                <w:szCs w:val="20"/>
              </w:rPr>
            </w:pPr>
            <w:r>
              <w:rPr>
                <w:rFonts w:hint="eastAsia" w:ascii="宋体" w:hAnsi="Times New Roman" w:cs="宋体"/>
                <w:color w:val="000000"/>
                <w:kern w:val="0"/>
                <w:sz w:val="20"/>
                <w:szCs w:val="20"/>
              </w:rPr>
              <w:t>总费用</w:t>
            </w:r>
          </w:p>
        </w:tc>
        <w:tc>
          <w:tcPr>
            <w:tcW w:w="1106" w:type="dxa"/>
            <w:tcBorders>
              <w:top w:val="single" w:color="4F81BD" w:themeColor="accent1" w:sz="8" w:space="0"/>
              <w:bottom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 xml:space="preserve">0.00 </w:t>
            </w:r>
          </w:p>
        </w:tc>
        <w:tc>
          <w:tcPr>
            <w:tcW w:w="1106" w:type="dxa"/>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20,000</w:t>
            </w:r>
            <w:r>
              <w:rPr>
                <w:rFonts w:hint="eastAsia" w:ascii="Arial" w:hAnsi="Arial" w:cs="Arial"/>
                <w:color w:val="000000"/>
                <w:kern w:val="0"/>
                <w:sz w:val="20"/>
                <w:szCs w:val="20"/>
              </w:rPr>
              <w:t>.00</w:t>
            </w:r>
          </w:p>
        </w:tc>
        <w:tc>
          <w:tcPr>
            <w:tcW w:w="1106" w:type="dxa"/>
            <w:tcBorders>
              <w:top w:val="single" w:color="4F81BD" w:themeColor="accent1" w:sz="8" w:space="0"/>
              <w:bottom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hint="eastAsia" w:ascii="Arial" w:hAnsi="Arial" w:cs="Arial"/>
                <w:color w:val="000000"/>
                <w:kern w:val="0"/>
                <w:sz w:val="20"/>
                <w:szCs w:val="20"/>
              </w:rPr>
              <w:t>2</w:t>
            </w:r>
            <w:r>
              <w:rPr>
                <w:rFonts w:ascii="Arial" w:hAnsi="Arial" w:cs="Arial"/>
                <w:color w:val="000000"/>
                <w:kern w:val="0"/>
                <w:sz w:val="20"/>
                <w:szCs w:val="20"/>
              </w:rPr>
              <w:t>0,000.</w:t>
            </w:r>
            <w:r>
              <w:rPr>
                <w:rFonts w:hint="eastAsia" w:ascii="Arial" w:hAnsi="Arial" w:cs="Arial"/>
                <w:color w:val="000000"/>
                <w:kern w:val="0"/>
                <w:sz w:val="20"/>
                <w:szCs w:val="20"/>
              </w:rPr>
              <w:t>00</w:t>
            </w:r>
          </w:p>
        </w:tc>
        <w:tc>
          <w:tcPr>
            <w:tcW w:w="1106" w:type="dxa"/>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p>
            <w:pPr>
              <w:autoSpaceDE w:val="0"/>
              <w:autoSpaceDN w:val="0"/>
              <w:adjustRightInd w:val="0"/>
              <w:jc w:val="left"/>
              <w:rPr>
                <w:rFonts w:ascii="Arial" w:hAnsi="Arial" w:cs="Arial"/>
                <w:color w:val="000000"/>
                <w:kern w:val="0"/>
                <w:sz w:val="20"/>
                <w:szCs w:val="20"/>
              </w:rPr>
            </w:pPr>
            <w:r>
              <w:rPr>
                <w:rFonts w:ascii="Arial" w:hAnsi="Arial" w:cs="Arial"/>
                <w:color w:val="000000"/>
                <w:kern w:val="0"/>
                <w:sz w:val="20"/>
                <w:szCs w:val="20"/>
              </w:rPr>
              <w:t>40,000.</w:t>
            </w:r>
            <w:r>
              <w:rPr>
                <w:rFonts w:hint="eastAsia" w:ascii="Arial" w:hAnsi="Arial" w:cs="Arial"/>
                <w:color w:val="000000"/>
                <w:kern w:val="0"/>
                <w:sz w:val="20"/>
                <w:szCs w:val="20"/>
              </w:rPr>
              <w:t>00</w:t>
            </w:r>
          </w:p>
        </w:tc>
        <w:tc>
          <w:tcPr>
            <w:tcW w:w="1297" w:type="dxa"/>
            <w:tcBorders>
              <w:top w:val="single" w:color="4F81BD" w:themeColor="accent1" w:sz="8" w:space="0"/>
              <w:bottom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hint="eastAsia" w:ascii="Arial" w:hAnsi="Arial" w:cs="Arial"/>
                <w:color w:val="000000"/>
                <w:kern w:val="0"/>
                <w:sz w:val="20"/>
                <w:szCs w:val="20"/>
              </w:rPr>
              <w:t>4</w:t>
            </w:r>
            <w:r>
              <w:rPr>
                <w:rFonts w:ascii="Arial" w:hAnsi="Arial" w:cs="Arial"/>
                <w:color w:val="000000"/>
                <w:kern w:val="0"/>
                <w:sz w:val="20"/>
                <w:szCs w:val="20"/>
              </w:rPr>
              <w:t>0,000</w:t>
            </w:r>
            <w:r>
              <w:rPr>
                <w:rFonts w:hint="eastAsia" w:ascii="Arial" w:hAnsi="Arial" w:cs="Arial"/>
                <w:color w:val="000000"/>
                <w:kern w:val="0"/>
                <w:sz w:val="20"/>
                <w:szCs w:val="20"/>
              </w:rPr>
              <w:t>,00</w:t>
            </w:r>
          </w:p>
        </w:tc>
        <w:tc>
          <w:tcPr>
            <w:tcW w:w="1106" w:type="dxa"/>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p>
            <w:pPr>
              <w:autoSpaceDE w:val="0"/>
              <w:autoSpaceDN w:val="0"/>
              <w:adjustRightInd w:val="0"/>
              <w:jc w:val="left"/>
              <w:rPr>
                <w:rFonts w:ascii="Arial" w:hAnsi="Arial" w:cs="Arial"/>
                <w:color w:val="000000"/>
                <w:kern w:val="0"/>
                <w:sz w:val="20"/>
                <w:szCs w:val="20"/>
              </w:rPr>
            </w:pPr>
            <w:r>
              <w:rPr>
                <w:rFonts w:hint="eastAsia" w:ascii="Arial" w:hAnsi="Arial" w:cs="Arial"/>
                <w:color w:val="000000"/>
                <w:kern w:val="0"/>
                <w:sz w:val="20"/>
                <w:szCs w:val="20"/>
              </w:rPr>
              <w:t>6</w:t>
            </w:r>
            <w:r>
              <w:rPr>
                <w:rFonts w:ascii="Arial" w:hAnsi="Arial" w:cs="Arial"/>
                <w:color w:val="000000"/>
                <w:kern w:val="0"/>
                <w:sz w:val="20"/>
                <w:szCs w:val="20"/>
              </w:rPr>
              <w:t>0,000</w:t>
            </w:r>
            <w:r>
              <w:rPr>
                <w:rFonts w:hint="eastAsia" w:ascii="Arial" w:hAnsi="Arial" w:cs="Arial"/>
                <w:color w:val="000000"/>
                <w:kern w:val="0"/>
                <w:sz w:val="20"/>
                <w:szCs w:val="20"/>
              </w:rPr>
              <w:t>,00</w:t>
            </w:r>
          </w:p>
        </w:tc>
        <w:tc>
          <w:tcPr>
            <w:tcW w:w="676" w:type="dxa"/>
            <w:tcBorders>
              <w:top w:val="single" w:color="4F81BD" w:themeColor="accent1" w:sz="8" w:space="0"/>
              <w:bottom w:val="single" w:color="4F81BD" w:themeColor="accent1" w:sz="8" w:space="0"/>
              <w:right w:val="single" w:color="4F81BD" w:themeColor="accent1" w:sz="8" w:space="0"/>
              <w:insideH w:val="single" w:sz="8" w:space="0"/>
            </w:tcBorders>
          </w:tcPr>
          <w:p>
            <w:pPr>
              <w:autoSpaceDE w:val="0"/>
              <w:autoSpaceDN w:val="0"/>
              <w:adjustRightInd w:val="0"/>
              <w:jc w:val="left"/>
              <w:rPr>
                <w:rFonts w:ascii="Arial" w:hAnsi="Arial" w:cs="Arial"/>
                <w:color w:val="000000"/>
                <w:kern w:val="0"/>
                <w:sz w:val="20"/>
                <w:szCs w:val="20"/>
              </w:rPr>
            </w:pPr>
            <w:r>
              <w:rPr>
                <w:rFonts w:hint="eastAsia" w:ascii="Arial" w:hAnsi="Arial" w:cs="Arial"/>
                <w:color w:val="000000"/>
                <w:kern w:val="0"/>
                <w:sz w:val="20"/>
                <w:szCs w:val="20"/>
              </w:rPr>
              <w:t>6</w:t>
            </w:r>
            <w:r>
              <w:rPr>
                <w:rFonts w:ascii="Arial" w:hAnsi="Arial" w:cs="Arial"/>
                <w:color w:val="000000"/>
                <w:kern w:val="0"/>
                <w:sz w:val="20"/>
                <w:szCs w:val="20"/>
              </w:rPr>
              <w:t>0,000</w:t>
            </w:r>
            <w:r>
              <w:rPr>
                <w:rFonts w:hint="eastAsia" w:ascii="Arial" w:hAnsi="Arial" w:cs="Arial"/>
                <w:color w:val="000000"/>
                <w:kern w:val="0"/>
                <w:sz w:val="20"/>
                <w:szCs w:val="20"/>
              </w:rPr>
              <w:t>,00</w:t>
            </w:r>
          </w:p>
        </w:tc>
      </w:tr>
    </w:tbl>
    <w:p>
      <w:pPr>
        <w:widowControl/>
        <w:ind w:left="360"/>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b/>
          <w:bCs/>
          <w:color w:val="000000"/>
          <w:kern w:val="0"/>
          <w:szCs w:val="21"/>
        </w:rPr>
        <w:t>产品推广</w:t>
      </w:r>
      <w:r>
        <w:rPr>
          <w:rFonts w:hint="eastAsia" w:ascii="宋体" w:hAnsi="宋体" w:cs="宋体"/>
          <w:color w:val="000000"/>
          <w:kern w:val="0"/>
          <w:sz w:val="20"/>
          <w:szCs w:val="20"/>
        </w:rPr>
        <w:br w:type="textWrapping"/>
      </w:r>
      <w:r>
        <w:rPr>
          <w:rFonts w:hint="eastAsia" w:ascii="宋体" w:hAnsi="宋体" w:cs="宋体"/>
          <w:color w:val="000000"/>
          <w:kern w:val="0"/>
          <w:szCs w:val="21"/>
        </w:rPr>
        <w:t xml:space="preserve">产品推广主要指广告宣传，每个产品每期均可以投入一笔广告宣传费用，某一期投入的广告对未来若干季度是有累积效应的，投入当季效应最大，随着时间推移，距离目前季度越久，效应逐渐降低。 </w:t>
      </w:r>
    </w:p>
    <w:p>
      <w:pPr>
        <w:widowControl/>
        <w:jc w:val="left"/>
        <w:rPr>
          <w:rFonts w:ascii="宋体" w:hAnsi="宋体" w:cs="宋体"/>
          <w:color w:val="000000"/>
          <w:kern w:val="0"/>
          <w:szCs w:val="21"/>
        </w:rPr>
      </w:pPr>
      <w:r>
        <w:rPr>
          <w:rFonts w:hint="eastAsia" w:ascii="宋体" w:hAnsi="宋体" w:cs="宋体"/>
          <w:color w:val="000000"/>
          <w:kern w:val="0"/>
          <w:sz w:val="20"/>
          <w:szCs w:val="20"/>
        </w:rPr>
        <w:t>3.</w:t>
      </w:r>
      <w:r>
        <w:rPr>
          <w:rFonts w:hint="eastAsia" w:ascii="宋体" w:hAnsi="宋体" w:cs="宋体"/>
          <w:b/>
          <w:bCs/>
          <w:color w:val="000000"/>
          <w:kern w:val="0"/>
          <w:szCs w:val="21"/>
        </w:rPr>
        <w:t>销售人员</w:t>
      </w:r>
      <w:r>
        <w:rPr>
          <w:rFonts w:hint="eastAsia" w:ascii="宋体" w:hAnsi="宋体" w:cs="宋体"/>
          <w:color w:val="000000"/>
          <w:kern w:val="0"/>
          <w:sz w:val="20"/>
          <w:szCs w:val="20"/>
        </w:rPr>
        <w:br w:type="textWrapping"/>
      </w:r>
      <w:r>
        <w:rPr>
          <w:rFonts w:hint="eastAsia" w:ascii="宋体" w:hAnsi="宋体" w:cs="宋体"/>
          <w:color w:val="000000"/>
          <w:kern w:val="0"/>
          <w:szCs w:val="21"/>
        </w:rPr>
        <w:t xml:space="preserve">公司可以在交易市场的人才市场内招聘到不同能力层次的销售人员。 </w:t>
      </w:r>
      <w:r>
        <w:rPr>
          <w:rFonts w:hint="eastAsia" w:ascii="宋体" w:hAnsi="宋体" w:cs="宋体"/>
          <w:color w:val="000000"/>
          <w:kern w:val="0"/>
          <w:szCs w:val="21"/>
        </w:rPr>
        <w:br w:type="textWrapping"/>
      </w:r>
      <w:r>
        <w:rPr>
          <w:rFonts w:hint="eastAsia" w:ascii="宋体" w:hAnsi="宋体" w:cs="宋体"/>
          <w:color w:val="000000"/>
          <w:kern w:val="0"/>
          <w:szCs w:val="21"/>
        </w:rPr>
        <w:t xml:space="preserve">销售能力：销售人员在一个经营周期内所具有的最大销售能力。 </w:t>
      </w:r>
      <w:r>
        <w:rPr>
          <w:rFonts w:hint="eastAsia" w:ascii="宋体" w:hAnsi="宋体" w:cs="宋体"/>
          <w:color w:val="000000"/>
          <w:kern w:val="0"/>
          <w:szCs w:val="21"/>
        </w:rPr>
        <w:br w:type="textWrapping"/>
      </w:r>
      <w:r>
        <w:rPr>
          <w:rFonts w:hint="eastAsia" w:ascii="宋体" w:hAnsi="宋体" w:cs="宋体"/>
          <w:color w:val="000000"/>
          <w:kern w:val="0"/>
          <w:szCs w:val="21"/>
        </w:rPr>
        <w:t xml:space="preserve">招聘费用：招聘一个销售人员所需花费的招聘费用，该笔费用在招聘时即自动扣除。 </w:t>
      </w:r>
      <w:r>
        <w:rPr>
          <w:rFonts w:hint="eastAsia" w:ascii="宋体" w:hAnsi="宋体" w:cs="宋体"/>
          <w:color w:val="000000"/>
          <w:kern w:val="0"/>
          <w:szCs w:val="21"/>
        </w:rPr>
        <w:br w:type="textWrapping"/>
      </w:r>
      <w:r>
        <w:rPr>
          <w:rFonts w:hint="eastAsia" w:ascii="宋体" w:hAnsi="宋体" w:cs="宋体"/>
          <w:color w:val="000000"/>
          <w:kern w:val="0"/>
          <w:szCs w:val="21"/>
        </w:rPr>
        <w:t xml:space="preserve">季度工资：支付给销售人员的工资，每期期末自动支付。 </w:t>
      </w:r>
      <w:r>
        <w:rPr>
          <w:rFonts w:hint="eastAsia" w:ascii="宋体" w:hAnsi="宋体" w:cs="宋体"/>
          <w:color w:val="000000"/>
          <w:kern w:val="0"/>
          <w:szCs w:val="21"/>
        </w:rPr>
        <w:br w:type="textWrapping"/>
      </w:r>
      <w:r>
        <w:rPr>
          <w:rFonts w:hint="eastAsia" w:ascii="宋体" w:hAnsi="宋体" w:cs="宋体"/>
          <w:color w:val="000000"/>
          <w:kern w:val="0"/>
          <w:szCs w:val="21"/>
        </w:rPr>
        <w:t xml:space="preserve">试用期：招聘后试用的时间，人力资源部需在试用期内与销售人员签订合同，招聘之后没有签订合同将支付罚金每人2,000.00元。 </w:t>
      </w:r>
      <w:r>
        <w:rPr>
          <w:rFonts w:hint="eastAsia" w:ascii="宋体" w:hAnsi="宋体" w:cs="宋体"/>
          <w:color w:val="000000"/>
          <w:kern w:val="0"/>
          <w:szCs w:val="21"/>
        </w:rPr>
        <w:br w:type="textWrapping"/>
      </w:r>
      <w:r>
        <w:rPr>
          <w:rFonts w:hint="eastAsia" w:ascii="宋体" w:hAnsi="宋体" w:cs="宋体"/>
          <w:color w:val="000000"/>
          <w:kern w:val="0"/>
          <w:szCs w:val="21"/>
        </w:rPr>
        <w:t xml:space="preserve">培训费用：每次培训一个销售人员所需花费的费用，每个销售人员每个经营周期最多只能做一次培训。销售人员培训由销售部提出，递交到人力资源部后进行实施，培训费用在实施时支付。 </w:t>
      </w:r>
      <w:r>
        <w:rPr>
          <w:rFonts w:hint="eastAsia" w:ascii="宋体" w:hAnsi="宋体" w:cs="宋体"/>
          <w:color w:val="000000"/>
          <w:kern w:val="0"/>
          <w:szCs w:val="21"/>
        </w:rPr>
        <w:br w:type="textWrapping"/>
      </w:r>
      <w:r>
        <w:rPr>
          <w:rFonts w:hint="eastAsia" w:ascii="宋体" w:hAnsi="宋体" w:cs="宋体"/>
          <w:color w:val="000000"/>
          <w:kern w:val="0"/>
          <w:szCs w:val="21"/>
        </w:rPr>
        <w:t xml:space="preserve">培训提升：销售人员完成一次培训后，销售能力将在原有能力的基础上提升的百分比。培训后销售能力＝培训前销售能力x(1+培训提升) </w:t>
      </w:r>
      <w:r>
        <w:rPr>
          <w:rFonts w:hint="eastAsia" w:ascii="宋体" w:hAnsi="宋体" w:cs="宋体"/>
          <w:color w:val="000000"/>
          <w:kern w:val="0"/>
          <w:szCs w:val="21"/>
        </w:rPr>
        <w:br w:type="textWrapping"/>
      </w:r>
      <w:r>
        <w:rPr>
          <w:rFonts w:hint="eastAsia" w:ascii="宋体" w:hAnsi="宋体" w:cs="宋体"/>
          <w:color w:val="000000"/>
          <w:kern w:val="0"/>
          <w:szCs w:val="21"/>
        </w:rPr>
        <w:t xml:space="preserve">辞退补偿:试用期内辞退销售人员无需支付辞退补偿金，试用期满并正式签订合同后需支付辞退补偿金，一般在每期期末实际辞退销售人员时实时支付。 </w:t>
      </w:r>
      <w:r>
        <w:rPr>
          <w:rFonts w:hint="eastAsia" w:ascii="宋体" w:hAnsi="宋体" w:cs="宋体"/>
          <w:color w:val="000000"/>
          <w:kern w:val="0"/>
          <w:szCs w:val="21"/>
        </w:rPr>
        <w:br w:type="textWrapping"/>
      </w:r>
      <w:r>
        <w:rPr>
          <w:rFonts w:hint="eastAsia" w:ascii="宋体" w:hAnsi="宋体" w:cs="宋体"/>
          <w:color w:val="000000"/>
          <w:kern w:val="0"/>
          <w:szCs w:val="21"/>
        </w:rPr>
        <w:t>以下是不同类型的销售人员：</w:t>
      </w:r>
    </w:p>
    <w:tbl>
      <w:tblPr>
        <w:tblStyle w:val="10"/>
        <w:tblW w:w="8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9"/>
        <w:gridCol w:w="6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949" w:type="dxa"/>
          </w:tcPr>
          <w:p>
            <w:pPr>
              <w:widowControl/>
              <w:jc w:val="center"/>
              <w:rPr>
                <w:rFonts w:ascii="Arial" w:hAnsi="Arial" w:cs="Arial"/>
                <w:color w:val="000000"/>
                <w:kern w:val="0"/>
                <w:sz w:val="20"/>
                <w:szCs w:val="20"/>
              </w:rPr>
            </w:pPr>
            <w:r>
              <w:rPr>
                <w:rFonts w:ascii="Arial" w:hAnsi="Arial" w:cs="Arial"/>
                <w:color w:val="000000"/>
                <w:kern w:val="0"/>
                <w:sz w:val="20"/>
                <w:szCs w:val="20"/>
              </w:rPr>
              <w:drawing>
                <wp:inline distT="0" distB="0" distL="0" distR="0">
                  <wp:extent cx="1216025" cy="1371600"/>
                  <wp:effectExtent l="19050" t="0" r="3175" b="0"/>
                  <wp:docPr id="108" name="图片 108" descr="http://127.0.0.1:8082/BSTCS/image/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http://127.0.0.1:8082/BSTCS/image/1s.jpg"/>
                          <pic:cNvPicPr>
                            <a:picLocks noChangeAspect="1" noChangeArrowheads="1"/>
                          </pic:cNvPicPr>
                        </pic:nvPicPr>
                        <pic:blipFill>
                          <a:blip r:embed="rId21"/>
                          <a:srcRect/>
                          <a:stretch>
                            <a:fillRect/>
                          </a:stretch>
                        </pic:blipFill>
                        <pic:spPr>
                          <a:xfrm>
                            <a:off x="0" y="0"/>
                            <a:ext cx="1216025" cy="1371600"/>
                          </a:xfrm>
                          <a:prstGeom prst="rect">
                            <a:avLst/>
                          </a:prstGeom>
                          <a:noFill/>
                          <a:ln w="9525">
                            <a:noFill/>
                            <a:miter lim="800000"/>
                            <a:headEnd/>
                            <a:tailEnd/>
                          </a:ln>
                        </pic:spPr>
                      </pic:pic>
                    </a:graphicData>
                  </a:graphic>
                </wp:inline>
              </w:drawing>
            </w:r>
          </w:p>
        </w:tc>
        <w:tc>
          <w:tcPr>
            <w:tcW w:w="6373" w:type="dxa"/>
          </w:tcPr>
          <w:tbl>
            <w:tblPr>
              <w:tblStyle w:val="10"/>
              <w:tblW w:w="6343"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2"/>
              <w:gridCol w:w="3131"/>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Borders>
                    <w:top w:val="single" w:color="4F81BD" w:themeColor="accent1" w:sz="8" w:space="0"/>
                    <w:left w:val="nil"/>
                    <w:bottom w:val="single" w:color="4F81BD" w:themeColor="accent1" w:sz="8" w:space="0"/>
                    <w:right w:val="nil"/>
                  </w:tcBorders>
                </w:tcPr>
                <w:p>
                  <w:pPr>
                    <w:widowControl/>
                    <w:jc w:val="right"/>
                    <w:rPr>
                      <w:rFonts w:ascii="Arial" w:hAnsi="Arial" w:cs="Arial"/>
                      <w:b/>
                      <w:bCs/>
                      <w:color w:val="000000"/>
                      <w:kern w:val="0"/>
                      <w:sz w:val="20"/>
                      <w:szCs w:val="20"/>
                    </w:rPr>
                  </w:pPr>
                  <w:r>
                    <w:rPr>
                      <w:rFonts w:ascii="Arial" w:hAnsi="Arial" w:cs="Arial"/>
                      <w:b/>
                      <w:bCs/>
                      <w:color w:val="000000"/>
                      <w:kern w:val="0"/>
                      <w:sz w:val="20"/>
                      <w:szCs w:val="20"/>
                    </w:rPr>
                    <w:t>销售人员</w:t>
                  </w:r>
                </w:p>
              </w:tc>
              <w:tc>
                <w:tcPr>
                  <w:tcW w:w="3110" w:type="dxa"/>
                  <w:tcBorders>
                    <w:top w:val="single" w:color="4F81BD" w:themeColor="accent1" w:sz="8" w:space="0"/>
                    <w:left w:val="nil"/>
                    <w:bottom w:val="single" w:color="4F81BD" w:themeColor="accent1" w:sz="8" w:space="0"/>
                    <w:right w:val="nil"/>
                  </w:tcBorders>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业务员</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Borders>
                    <w:left w:val="nil"/>
                    <w:right w:val="nil"/>
                  </w:tcBorders>
                  <w:shd w:val="clear" w:color="auto" w:fill="D3DFEE" w:themeFill="accent1"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销售能力</w:t>
                  </w:r>
                </w:p>
              </w:tc>
              <w:tc>
                <w:tcPr>
                  <w:tcW w:w="3110" w:type="dxa"/>
                  <w:tcBorders>
                    <w:left w:val="nil"/>
                    <w:right w:val="nil"/>
                  </w:tcBorders>
                  <w:shd w:val="clear" w:color="auto" w:fill="D3DFEE" w:themeFill="accent1" w:themeFillTint="3F"/>
                </w:tcPr>
                <w:p>
                  <w:pPr>
                    <w:widowControl/>
                    <w:jc w:val="center"/>
                    <w:rPr>
                      <w:rFonts w:ascii="Arial" w:hAnsi="Arial" w:cs="Arial"/>
                      <w:color w:val="000000"/>
                      <w:kern w:val="0"/>
                      <w:sz w:val="20"/>
                      <w:szCs w:val="20"/>
                    </w:rPr>
                  </w:pPr>
                  <w:r>
                    <w:rPr>
                      <w:rFonts w:hint="eastAsia" w:ascii="Arial" w:hAnsi="Arial" w:cs="Arial"/>
                      <w:color w:val="000000"/>
                      <w:kern w:val="0"/>
                      <w:sz w:val="20"/>
                      <w:szCs w:val="20"/>
                    </w:rPr>
                    <w:t>100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招聘费用</w:t>
                  </w:r>
                </w:p>
              </w:tc>
              <w:tc>
                <w:tcPr>
                  <w:tcW w:w="3110" w:type="dxa"/>
                </w:tcPr>
                <w:p>
                  <w:pPr>
                    <w:widowControl/>
                    <w:jc w:val="center"/>
                    <w:rPr>
                      <w:rFonts w:ascii="Arial" w:hAnsi="Arial" w:cs="Arial"/>
                      <w:color w:val="000000"/>
                      <w:kern w:val="0"/>
                      <w:sz w:val="20"/>
                      <w:szCs w:val="20"/>
                    </w:rPr>
                  </w:pPr>
                  <w:r>
                    <w:rPr>
                      <w:rFonts w:ascii="Arial" w:hAnsi="Arial" w:cs="Arial"/>
                      <w:color w:val="000000"/>
                      <w:kern w:val="0"/>
                      <w:sz w:val="20"/>
                      <w:szCs w:val="20"/>
                    </w:rPr>
                    <w:t>500.00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Borders>
                    <w:left w:val="nil"/>
                    <w:right w:val="nil"/>
                  </w:tcBorders>
                  <w:shd w:val="clear" w:color="auto" w:fill="D3DFEE" w:themeFill="accent1"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季度工资</w:t>
                  </w:r>
                </w:p>
              </w:tc>
              <w:tc>
                <w:tcPr>
                  <w:tcW w:w="3110" w:type="dxa"/>
                  <w:tcBorders>
                    <w:left w:val="nil"/>
                    <w:right w:val="nil"/>
                  </w:tcBorders>
                  <w:shd w:val="clear" w:color="auto" w:fill="D3DFEE" w:themeFill="accent1" w:themeFillTint="3F"/>
                </w:tcPr>
                <w:p>
                  <w:pPr>
                    <w:widowControl/>
                    <w:jc w:val="center"/>
                    <w:rPr>
                      <w:rFonts w:ascii="Arial" w:hAnsi="Arial" w:cs="Arial"/>
                      <w:color w:val="000000"/>
                      <w:kern w:val="0"/>
                      <w:sz w:val="20"/>
                      <w:szCs w:val="20"/>
                    </w:rPr>
                  </w:pPr>
                  <w:r>
                    <w:rPr>
                      <w:rFonts w:hint="eastAsia" w:ascii="Arial" w:hAnsi="Arial" w:cs="Arial"/>
                      <w:color w:val="000000"/>
                      <w:kern w:val="0"/>
                      <w:sz w:val="20"/>
                      <w:szCs w:val="20"/>
                    </w:rPr>
                    <w:t>4,000.</w:t>
                  </w:r>
                  <w:r>
                    <w:rPr>
                      <w:rFonts w:ascii="Arial" w:hAnsi="Arial" w:cs="Arial"/>
                      <w:color w:val="000000"/>
                      <w:kern w:val="0"/>
                      <w:sz w:val="20"/>
                      <w:szCs w:val="20"/>
                    </w:rPr>
                    <w:t>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试用期</w:t>
                  </w:r>
                </w:p>
              </w:tc>
              <w:tc>
                <w:tcPr>
                  <w:tcW w:w="3110" w:type="dxa"/>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Borders>
                    <w:left w:val="nil"/>
                    <w:right w:val="nil"/>
                  </w:tcBorders>
                  <w:shd w:val="clear" w:color="auto" w:fill="D3DFEE" w:themeFill="accent1"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培训费用</w:t>
                  </w:r>
                </w:p>
              </w:tc>
              <w:tc>
                <w:tcPr>
                  <w:tcW w:w="3110" w:type="dxa"/>
                  <w:tcBorders>
                    <w:left w:val="nil"/>
                    <w:right w:val="nil"/>
                  </w:tcBorders>
                  <w:shd w:val="clear" w:color="auto" w:fill="D3DFEE" w:themeFill="accent1" w:themeFillTint="3F"/>
                </w:tcPr>
                <w:p>
                  <w:pPr>
                    <w:widowControl/>
                    <w:jc w:val="center"/>
                    <w:rPr>
                      <w:rFonts w:ascii="Arial" w:hAnsi="Arial" w:cs="Arial"/>
                      <w:color w:val="000000"/>
                      <w:kern w:val="0"/>
                      <w:sz w:val="20"/>
                      <w:szCs w:val="20"/>
                    </w:rPr>
                  </w:pPr>
                  <w:r>
                    <w:rPr>
                      <w:rFonts w:ascii="Arial" w:hAnsi="Arial" w:cs="Arial"/>
                      <w:color w:val="000000"/>
                      <w:kern w:val="0"/>
                      <w:sz w:val="20"/>
                      <w:szCs w:val="20"/>
                    </w:rPr>
                    <w:t>500.00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Pr>
                <w:p>
                  <w:pPr>
                    <w:widowControl/>
                    <w:jc w:val="right"/>
                    <w:rPr>
                      <w:rFonts w:ascii="Arial" w:hAnsi="Arial" w:cs="Arial"/>
                      <w:b/>
                      <w:bCs/>
                      <w:color w:val="000000"/>
                      <w:kern w:val="0"/>
                      <w:sz w:val="20"/>
                      <w:szCs w:val="20"/>
                    </w:rPr>
                  </w:pPr>
                  <w:r>
                    <w:rPr>
                      <w:rFonts w:ascii="Arial" w:hAnsi="Arial" w:cs="Arial"/>
                      <w:b/>
                      <w:bCs/>
                      <w:color w:val="000000"/>
                      <w:kern w:val="0"/>
                      <w:sz w:val="20"/>
                      <w:szCs w:val="20"/>
                    </w:rPr>
                    <w:t>培训提升</w:t>
                  </w:r>
                </w:p>
              </w:tc>
              <w:tc>
                <w:tcPr>
                  <w:tcW w:w="3110" w:type="dxa"/>
                </w:tcPr>
                <w:p>
                  <w:pPr>
                    <w:widowControl/>
                    <w:jc w:val="center"/>
                    <w:rPr>
                      <w:rFonts w:ascii="Arial" w:hAnsi="Arial" w:cs="Arial"/>
                      <w:color w:val="000000"/>
                      <w:kern w:val="0"/>
                      <w:sz w:val="20"/>
                      <w:szCs w:val="20"/>
                    </w:rPr>
                  </w:pPr>
                  <w:r>
                    <w:rPr>
                      <w:rFonts w:ascii="Arial" w:hAnsi="Arial" w:cs="Arial"/>
                      <w:color w:val="000000"/>
                      <w:kern w:val="0"/>
                      <w:sz w:val="20"/>
                      <w:szCs w:val="20"/>
                    </w:rPr>
                    <w:t>5.00%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191" w:type="dxa"/>
                  <w:tcBorders>
                    <w:left w:val="nil"/>
                    <w:right w:val="nil"/>
                  </w:tcBorders>
                  <w:shd w:val="clear" w:color="auto" w:fill="D3DFEE" w:themeFill="accent1" w:themeFillTint="3F"/>
                </w:tcPr>
                <w:p>
                  <w:pPr>
                    <w:widowControl/>
                    <w:jc w:val="right"/>
                    <w:rPr>
                      <w:rFonts w:ascii="Arial" w:hAnsi="Arial" w:cs="Arial"/>
                      <w:b/>
                      <w:bCs/>
                      <w:color w:val="000000"/>
                      <w:kern w:val="0"/>
                      <w:sz w:val="20"/>
                      <w:szCs w:val="20"/>
                    </w:rPr>
                  </w:pPr>
                  <w:r>
                    <w:rPr>
                      <w:rFonts w:ascii="Arial" w:hAnsi="Arial" w:cs="Arial"/>
                      <w:b/>
                      <w:bCs/>
                      <w:color w:val="000000"/>
                      <w:kern w:val="0"/>
                      <w:sz w:val="20"/>
                      <w:szCs w:val="20"/>
                    </w:rPr>
                    <w:t>辞退补偿</w:t>
                  </w:r>
                </w:p>
              </w:tc>
              <w:tc>
                <w:tcPr>
                  <w:tcW w:w="3110" w:type="dxa"/>
                  <w:tcBorders>
                    <w:left w:val="nil"/>
                    <w:right w:val="nil"/>
                  </w:tcBorders>
                  <w:shd w:val="clear" w:color="auto" w:fill="D3DFEE" w:themeFill="accent1" w:themeFillTint="3F"/>
                </w:tcPr>
                <w:p>
                  <w:pPr>
                    <w:widowControl/>
                    <w:jc w:val="center"/>
                    <w:rPr>
                      <w:rFonts w:ascii="Arial" w:hAnsi="Arial" w:cs="Arial"/>
                      <w:color w:val="000000"/>
                      <w:kern w:val="0"/>
                      <w:sz w:val="20"/>
                      <w:szCs w:val="20"/>
                    </w:rPr>
                  </w:pPr>
                  <w:r>
                    <w:rPr>
                      <w:rFonts w:hint="eastAsia" w:ascii="Arial" w:hAnsi="Arial" w:cs="Arial"/>
                      <w:color w:val="000000"/>
                      <w:kern w:val="0"/>
                      <w:sz w:val="20"/>
                      <w:szCs w:val="20"/>
                    </w:rPr>
                    <w:t>4</w:t>
                  </w:r>
                  <w:r>
                    <w:rPr>
                      <w:rFonts w:ascii="Arial" w:hAnsi="Arial" w:cs="Arial"/>
                      <w:color w:val="000000"/>
                      <w:kern w:val="0"/>
                      <w:sz w:val="20"/>
                      <w:szCs w:val="20"/>
                    </w:rPr>
                    <w:t>,</w:t>
                  </w:r>
                  <w:r>
                    <w:rPr>
                      <w:rFonts w:hint="eastAsia" w:ascii="Arial" w:hAnsi="Arial" w:cs="Arial"/>
                      <w:color w:val="000000"/>
                      <w:kern w:val="0"/>
                      <w:sz w:val="20"/>
                      <w:szCs w:val="20"/>
                    </w:rPr>
                    <w:t>0</w:t>
                  </w:r>
                  <w:r>
                    <w:rPr>
                      <w:rFonts w:ascii="Arial" w:hAnsi="Arial" w:cs="Arial"/>
                      <w:color w:val="000000"/>
                      <w:kern w:val="0"/>
                      <w:sz w:val="20"/>
                      <w:szCs w:val="20"/>
                    </w:rPr>
                    <w:t>00.00</w:t>
                  </w:r>
                </w:p>
              </w:tc>
            </w:tr>
          </w:tbl>
          <w:p>
            <w:pPr>
              <w:widowControl/>
              <w:jc w:val="center"/>
              <w:rPr>
                <w:rFonts w:ascii="Arial" w:hAnsi="Arial" w:cs="Arial"/>
                <w:color w:val="000000"/>
                <w:kern w:val="0"/>
                <w:sz w:val="20"/>
                <w:szCs w:val="20"/>
              </w:rPr>
            </w:pPr>
          </w:p>
        </w:tc>
      </w:tr>
    </w:tbl>
    <w:p>
      <w:pPr>
        <w:rPr>
          <w:rFonts w:cs="宋体" w:asciiTheme="minorEastAsia" w:hAnsiTheme="minorEastAsia" w:eastAsiaTheme="minorEastAsia"/>
          <w:color w:val="000000"/>
          <w:kern w:val="0"/>
          <w:szCs w:val="21"/>
        </w:rPr>
      </w:pPr>
      <w:r>
        <w:rPr>
          <w:rFonts w:hint="eastAsia" w:ascii="宋体" w:hAnsi="宋体" w:cs="宋体"/>
          <w:color w:val="000000"/>
          <w:kern w:val="0"/>
          <w:sz w:val="20"/>
          <w:szCs w:val="20"/>
        </w:rPr>
        <w:t>4.</w:t>
      </w:r>
      <w:r>
        <w:rPr>
          <w:rFonts w:hint="eastAsia" w:ascii="宋体" w:hAnsi="宋体" w:cs="宋体"/>
          <w:b/>
          <w:bCs/>
          <w:color w:val="000000"/>
          <w:kern w:val="0"/>
          <w:szCs w:val="21"/>
        </w:rPr>
        <w:t>订单报价</w:t>
      </w:r>
      <w:r>
        <w:rPr>
          <w:rFonts w:hint="eastAsia" w:ascii="宋体" w:hAnsi="宋体" w:cs="宋体"/>
          <w:color w:val="000000"/>
          <w:kern w:val="0"/>
          <w:szCs w:val="21"/>
        </w:rPr>
        <w:br w:type="textWrapping"/>
      </w:r>
      <w:r>
        <w:rPr>
          <w:rFonts w:hint="eastAsia" w:ascii="宋体" w:hAnsi="宋体" w:cs="宋体"/>
          <w:color w:val="000000"/>
          <w:kern w:val="0"/>
          <w:szCs w:val="21"/>
        </w:rPr>
        <w:t xml:space="preserve">每个经营周期，对于已经完成开发的渠道，将有若干来自不同消费群体的市场订单以供每个公司进行报价。每个市场订单均包含以下要素： </w:t>
      </w:r>
      <w:r>
        <w:rPr>
          <w:rFonts w:hint="eastAsia" w:ascii="宋体" w:hAnsi="宋体" w:cs="宋体"/>
          <w:color w:val="000000"/>
          <w:kern w:val="0"/>
          <w:szCs w:val="21"/>
        </w:rPr>
        <w:br w:type="textWrapping"/>
      </w:r>
      <w:r>
        <w:rPr>
          <w:rFonts w:hint="eastAsia" w:ascii="宋体" w:hAnsi="宋体" w:cs="宋体"/>
          <w:color w:val="000000"/>
          <w:kern w:val="0"/>
          <w:szCs w:val="21"/>
        </w:rPr>
        <w:t xml:space="preserve">资质要求： </w:t>
      </w:r>
      <w:r>
        <w:rPr>
          <w:rFonts w:hint="eastAsia" w:ascii="宋体" w:hAnsi="宋体" w:cs="宋体"/>
          <w:color w:val="000000"/>
          <w:kern w:val="0"/>
          <w:sz w:val="20"/>
          <w:szCs w:val="20"/>
        </w:rPr>
        <w:br w:type="textWrapping"/>
      </w:r>
      <w:r>
        <w:rPr>
          <w:rFonts w:hint="eastAsia" w:cs="宋体" w:asciiTheme="minorEastAsia" w:hAnsiTheme="minorEastAsia" w:eastAsiaTheme="minorEastAsia"/>
          <w:color w:val="000000"/>
          <w:kern w:val="0"/>
          <w:szCs w:val="21"/>
        </w:rPr>
        <w:t xml:space="preserve">购买量： </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xml:space="preserve">回款周期： </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xml:space="preserve">最高承受价 </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FF0000"/>
          <w:kern w:val="0"/>
          <w:szCs w:val="21"/>
        </w:rPr>
        <w:t>当订单无法按量满额交付时，需支付订单违约金，订单违约金 = (该订单最高限价 * 未交付订单数量) * 订单违约金比例(30.00%)</w:t>
      </w:r>
    </w:p>
    <w:p>
      <w:pPr>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w:t>
      </w:r>
      <w:r>
        <w:rPr>
          <w:rFonts w:hint="eastAsia" w:cs="宋体" w:asciiTheme="minorEastAsia" w:hAnsiTheme="minorEastAsia" w:eastAsiaTheme="minorEastAsia"/>
          <w:b/>
          <w:bCs/>
          <w:color w:val="000000"/>
          <w:kern w:val="0"/>
          <w:szCs w:val="21"/>
        </w:rPr>
        <w:t>市场需求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xml:space="preserve">每个经营周期，不同市场区域下的不同销售渠道都包含了多个消费群体的不同数量的潜在市场需求,所有公司都可以通过营销渠道把自己的产品销售给这些消费者,当然消费者也将根据自身需求及其他多方面因素在众多厂家中选择自己最钟爱的产品; 当然也有可能出现厂家的产品供不应求的情况,部分消费者的需求将暂时无法得到满足,对于这些暂时未得到满足的消费者,他们将在接下去的季度继续寻找自己想要的产品,但如果某些市场区域大量的消费者持续得不到产品满足,该市场的需求总量增长将逐渐放缓. </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以下是专业市场调查机构提供的未来</w:t>
      </w:r>
      <w:r>
        <w:rPr>
          <w:rFonts w:hint="eastAsia" w:cs="宋体" w:asciiTheme="minorEastAsia" w:hAnsiTheme="minorEastAsia" w:eastAsiaTheme="minorEastAsia"/>
          <w:b/>
          <w:bCs/>
          <w:color w:val="FF0000"/>
          <w:kern w:val="0"/>
          <w:szCs w:val="21"/>
        </w:rPr>
        <w:t>6</w:t>
      </w:r>
      <w:r>
        <w:rPr>
          <w:rFonts w:hint="eastAsia" w:cs="宋体" w:asciiTheme="minorEastAsia" w:hAnsiTheme="minorEastAsia" w:eastAsiaTheme="minorEastAsia"/>
          <w:color w:val="000000"/>
          <w:kern w:val="0"/>
          <w:szCs w:val="21"/>
        </w:rPr>
        <w:t>季度的需求分析走势图</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b/>
          <w:bCs/>
          <w:color w:val="FF0000"/>
          <w:kern w:val="0"/>
          <w:szCs w:val="21"/>
        </w:rPr>
        <w:t>注意：本报告仅供参考，其中所提供的需求量走势与最终实际市场最终需求可能会有一定的差异。</w:t>
      </w:r>
    </w:p>
    <w:p>
      <w:pPr>
        <w:jc w:val="cente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本图仅以一个小组的市场需求生成需求预计，一般市场需求和小组数成正比。其他市场消费群体走势，详见系统帮助</w:t>
      </w:r>
      <w:r>
        <w:rPr>
          <w:rFonts w:cs="Calibri" w:asciiTheme="minorEastAsia" w:hAnsiTheme="minorEastAsia" w:eastAsiaTheme="minorEastAsia"/>
          <w:szCs w:val="21"/>
        </w:rPr>
        <w:t>-</w:t>
      </w:r>
      <w:r>
        <w:rPr>
          <w:rFonts w:hint="eastAsia" w:asciiTheme="minorEastAsia" w:hAnsiTheme="minorEastAsia" w:eastAsiaTheme="minorEastAsia"/>
          <w:szCs w:val="21"/>
        </w:rPr>
        <w:t>市场营销。</w:t>
      </w:r>
    </w:p>
    <w:p>
      <w:pPr>
        <w:jc w:val="center"/>
      </w:pPr>
      <w:r>
        <w:drawing>
          <wp:inline distT="0" distB="0" distL="0" distR="0">
            <wp:extent cx="4781550" cy="44907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stretch>
                      <a:fillRect/>
                    </a:stretch>
                  </pic:blipFill>
                  <pic:spPr>
                    <a:xfrm>
                      <a:off x="0" y="0"/>
                      <a:ext cx="4783410" cy="4492582"/>
                    </a:xfrm>
                    <a:prstGeom prst="rect">
                      <a:avLst/>
                    </a:prstGeom>
                  </pic:spPr>
                </pic:pic>
              </a:graphicData>
            </a:graphic>
          </wp:inline>
        </w:drawing>
      </w:r>
    </w:p>
    <w:p>
      <w:pPr>
        <w:pStyle w:val="2"/>
        <w:numPr>
          <w:ilvl w:val="0"/>
          <w:numId w:val="1"/>
        </w:numPr>
        <w:rPr>
          <w:rStyle w:val="16"/>
          <w:b w:val="0"/>
          <w:bCs w:val="0"/>
          <w:sz w:val="32"/>
          <w:szCs w:val="32"/>
        </w:rPr>
      </w:pPr>
      <w:bookmarkStart w:id="6" w:name="_Toc380594060"/>
      <w:r>
        <w:rPr>
          <w:rStyle w:val="16"/>
          <w:rFonts w:hint="eastAsia"/>
          <w:b w:val="0"/>
          <w:bCs w:val="0"/>
          <w:sz w:val="32"/>
          <w:szCs w:val="32"/>
        </w:rPr>
        <w:t>评分说明</w:t>
      </w:r>
      <w:bookmarkEnd w:id="6"/>
    </w:p>
    <w:p>
      <w:pPr>
        <w:rPr>
          <w:szCs w:val="21"/>
        </w:rPr>
      </w:pPr>
      <w:r>
        <w:rPr>
          <w:rFonts w:hint="eastAsia"/>
          <w:color w:val="000000"/>
          <w:szCs w:val="21"/>
        </w:rPr>
        <w:t>综合表现分数计算法则：综合表现＝盈利表现＋财务表现＋市场表现＋投资表现＋成长表现</w:t>
      </w:r>
      <w:r>
        <w:rPr>
          <w:rFonts w:hint="eastAsia"/>
          <w:color w:val="000000"/>
          <w:szCs w:val="21"/>
        </w:rPr>
        <w:br w:type="textWrapping"/>
      </w:r>
      <w:r>
        <w:rPr>
          <w:rFonts w:hint="eastAsia"/>
          <w:color w:val="000000"/>
          <w:szCs w:val="21"/>
        </w:rPr>
        <w:t>基准分数为100.00分,各项权重分别为：</w:t>
      </w:r>
      <w:r>
        <w:rPr>
          <w:rFonts w:hint="eastAsia"/>
          <w:color w:val="000000"/>
          <w:szCs w:val="21"/>
        </w:rPr>
        <w:br w:type="textWrapping"/>
      </w:r>
      <w:r>
        <w:rPr>
          <w:rFonts w:hint="eastAsia"/>
          <w:color w:val="000000"/>
          <w:szCs w:val="21"/>
        </w:rPr>
        <w:t>盈利表现权重30.00分</w:t>
      </w:r>
      <w:r>
        <w:rPr>
          <w:rFonts w:hint="eastAsia"/>
          <w:color w:val="000000"/>
          <w:szCs w:val="21"/>
        </w:rPr>
        <w:br w:type="textWrapping"/>
      </w:r>
      <w:r>
        <w:rPr>
          <w:rFonts w:hint="eastAsia"/>
          <w:color w:val="000000"/>
          <w:szCs w:val="21"/>
        </w:rPr>
        <w:t>财务表现权重30.00分</w:t>
      </w:r>
      <w:r>
        <w:rPr>
          <w:rFonts w:hint="eastAsia"/>
          <w:color w:val="000000"/>
          <w:szCs w:val="21"/>
        </w:rPr>
        <w:br w:type="textWrapping"/>
      </w:r>
      <w:r>
        <w:rPr>
          <w:rFonts w:hint="eastAsia"/>
          <w:color w:val="000000"/>
          <w:szCs w:val="21"/>
        </w:rPr>
        <w:t>市场表现权重20.00分</w:t>
      </w:r>
      <w:r>
        <w:rPr>
          <w:rFonts w:hint="eastAsia"/>
          <w:color w:val="000000"/>
          <w:szCs w:val="21"/>
        </w:rPr>
        <w:br w:type="textWrapping"/>
      </w:r>
      <w:r>
        <w:rPr>
          <w:rFonts w:hint="eastAsia"/>
          <w:color w:val="000000"/>
          <w:szCs w:val="21"/>
        </w:rPr>
        <w:t>投资表现权重10.00分</w:t>
      </w:r>
      <w:r>
        <w:rPr>
          <w:rFonts w:hint="eastAsia"/>
          <w:color w:val="000000"/>
          <w:szCs w:val="21"/>
        </w:rPr>
        <w:br w:type="textWrapping"/>
      </w:r>
      <w:r>
        <w:rPr>
          <w:rFonts w:hint="eastAsia"/>
          <w:color w:val="000000"/>
          <w:szCs w:val="21"/>
        </w:rPr>
        <w:t>成长表现权重10.00分</w:t>
      </w:r>
      <w:r>
        <w:rPr>
          <w:rFonts w:hint="eastAsia"/>
          <w:color w:val="000000"/>
          <w:szCs w:val="21"/>
        </w:rPr>
        <w:br w:type="textWrapping"/>
      </w:r>
      <w:r>
        <w:rPr>
          <w:rFonts w:hint="eastAsia"/>
          <w:color w:val="000000"/>
          <w:szCs w:val="21"/>
        </w:rPr>
        <w:t>各项权重由讲师设置。</w:t>
      </w:r>
      <w:r>
        <w:rPr>
          <w:rFonts w:hint="eastAsia"/>
          <w:color w:val="000000"/>
          <w:sz w:val="20"/>
          <w:szCs w:val="20"/>
        </w:rPr>
        <w:br w:type="textWrapping"/>
      </w:r>
      <w:r>
        <w:rPr>
          <w:rFonts w:hint="eastAsia"/>
          <w:color w:val="000000"/>
          <w:sz w:val="20"/>
          <w:szCs w:val="20"/>
        </w:rPr>
        <w:br w:type="textWrapping"/>
      </w:r>
      <w:r>
        <w:rPr>
          <w:rFonts w:hint="eastAsia"/>
          <w:b/>
          <w:bCs/>
          <w:color w:val="000000"/>
          <w:szCs w:val="21"/>
        </w:rPr>
        <w:t>盈利表现：</w:t>
      </w:r>
      <w:r>
        <w:rPr>
          <w:rFonts w:hint="eastAsia"/>
          <w:color w:val="000000"/>
          <w:szCs w:val="21"/>
        </w:rPr>
        <w:t>盈利表现＝所有者权益 / 所有企业平均所有者权益×盈利表现权重</w:t>
      </w:r>
      <w:r>
        <w:rPr>
          <w:rFonts w:hint="eastAsia"/>
          <w:color w:val="000000"/>
          <w:szCs w:val="21"/>
        </w:rPr>
        <w:br w:type="textWrapping"/>
      </w:r>
      <w:r>
        <w:rPr>
          <w:rFonts w:hint="eastAsia"/>
          <w:color w:val="FF0000"/>
          <w:szCs w:val="21"/>
        </w:rPr>
        <w:t>·盈利表现最低为0.00，最高为60.00</w:t>
      </w:r>
      <w:r>
        <w:rPr>
          <w:rFonts w:hint="eastAsia"/>
          <w:color w:val="000000"/>
          <w:szCs w:val="21"/>
        </w:rPr>
        <w:br w:type="textWrapping"/>
      </w:r>
      <w:r>
        <w:rPr>
          <w:rFonts w:hint="eastAsia"/>
          <w:color w:val="000000"/>
          <w:szCs w:val="21"/>
        </w:rPr>
        <w:br w:type="textWrapping"/>
      </w:r>
      <w:r>
        <w:rPr>
          <w:rFonts w:hint="eastAsia"/>
          <w:b/>
          <w:bCs/>
          <w:color w:val="000000"/>
          <w:szCs w:val="21"/>
        </w:rPr>
        <w:t>财务表现：</w:t>
      </w:r>
      <w:r>
        <w:rPr>
          <w:rFonts w:hint="eastAsia"/>
          <w:color w:val="000000"/>
          <w:szCs w:val="21"/>
        </w:rPr>
        <w:t>财务表现＝（本企业平均财务综合评价 / 所有企业平均财务综合评价的平均数）×财务表现权重</w:t>
      </w:r>
      <w:r>
        <w:rPr>
          <w:rFonts w:hint="eastAsia"/>
          <w:color w:val="000000"/>
          <w:szCs w:val="21"/>
        </w:rPr>
        <w:br w:type="textWrapping"/>
      </w:r>
      <w:r>
        <w:rPr>
          <w:rFonts w:hint="eastAsia"/>
          <w:color w:val="FF0000"/>
          <w:szCs w:val="21"/>
        </w:rPr>
        <w:t>·财务表现最低为0.00，最高为60.00</w:t>
      </w:r>
      <w:r>
        <w:rPr>
          <w:rFonts w:hint="eastAsia"/>
          <w:color w:val="000000"/>
          <w:szCs w:val="21"/>
        </w:rPr>
        <w:br w:type="textWrapping"/>
      </w:r>
      <w:r>
        <w:rPr>
          <w:rFonts w:hint="eastAsia"/>
          <w:color w:val="000000"/>
          <w:szCs w:val="21"/>
        </w:rPr>
        <w:br w:type="textWrapping"/>
      </w:r>
      <w:r>
        <w:rPr>
          <w:rFonts w:hint="eastAsia"/>
          <w:b/>
          <w:bCs/>
          <w:color w:val="000000"/>
          <w:szCs w:val="21"/>
        </w:rPr>
        <w:t>市场表现：</w:t>
      </w:r>
      <w:r>
        <w:rPr>
          <w:rFonts w:hint="eastAsia"/>
          <w:color w:val="000000"/>
          <w:szCs w:val="21"/>
        </w:rPr>
        <w:t>市场表现＝（本企业累计已交付的订货量 / 所有企业平均累计交付的订货量）×市场表现权重</w:t>
      </w:r>
      <w:r>
        <w:rPr>
          <w:rFonts w:hint="eastAsia"/>
          <w:color w:val="000000"/>
          <w:szCs w:val="21"/>
        </w:rPr>
        <w:br w:type="textWrapping"/>
      </w:r>
      <w:r>
        <w:rPr>
          <w:rFonts w:hint="eastAsia"/>
          <w:color w:val="FF0000"/>
          <w:szCs w:val="21"/>
        </w:rPr>
        <w:t>·市场表现最低为0.00，最高为40.00</w:t>
      </w:r>
      <w:r>
        <w:rPr>
          <w:rFonts w:hint="eastAsia"/>
          <w:color w:val="000000"/>
          <w:szCs w:val="21"/>
        </w:rPr>
        <w:br w:type="textWrapping"/>
      </w:r>
      <w:r>
        <w:rPr>
          <w:rFonts w:hint="eastAsia"/>
          <w:color w:val="000000"/>
          <w:szCs w:val="21"/>
        </w:rPr>
        <w:br w:type="textWrapping"/>
      </w:r>
      <w:r>
        <w:rPr>
          <w:rFonts w:hint="eastAsia"/>
          <w:b/>
          <w:bCs/>
          <w:color w:val="000000"/>
          <w:szCs w:val="21"/>
        </w:rPr>
        <w:t>投资表现：</w:t>
      </w:r>
      <w:r>
        <w:rPr>
          <w:rFonts w:hint="eastAsia"/>
          <w:color w:val="000000"/>
          <w:szCs w:val="21"/>
        </w:rPr>
        <w:t>投资表现＝（本企业未来投资 / 所有企业平均未来投资）×投资表现权重</w:t>
      </w:r>
      <w:r>
        <w:rPr>
          <w:rFonts w:hint="eastAsia"/>
          <w:color w:val="000000"/>
          <w:szCs w:val="21"/>
        </w:rPr>
        <w:br w:type="textWrapping"/>
      </w:r>
      <w:r>
        <w:rPr>
          <w:rFonts w:hint="eastAsia"/>
          <w:color w:val="000000"/>
          <w:szCs w:val="21"/>
        </w:rPr>
        <w:t>           未来投资＝累计产品研发投入＋累计认证投入＋累计市场开发投入＋∑（每个厂房和设备的原值/相应的购买季度数）</w:t>
      </w:r>
      <w:r>
        <w:rPr>
          <w:rFonts w:hint="eastAsia"/>
          <w:color w:val="000000"/>
          <w:szCs w:val="21"/>
        </w:rPr>
        <w:br w:type="textWrapping"/>
      </w:r>
      <w:r>
        <w:rPr>
          <w:rFonts w:hint="eastAsia"/>
          <w:color w:val="FF0000"/>
          <w:szCs w:val="21"/>
        </w:rPr>
        <w:t>·投资表现最低为0.00，最高为20.00</w:t>
      </w:r>
      <w:r>
        <w:rPr>
          <w:rFonts w:hint="eastAsia"/>
          <w:color w:val="000000"/>
          <w:szCs w:val="21"/>
        </w:rPr>
        <w:br w:type="textWrapping"/>
      </w:r>
      <w:r>
        <w:rPr>
          <w:rFonts w:hint="eastAsia"/>
          <w:color w:val="000000"/>
          <w:szCs w:val="21"/>
        </w:rPr>
        <w:br w:type="textWrapping"/>
      </w:r>
      <w:r>
        <w:rPr>
          <w:rFonts w:hint="eastAsia"/>
          <w:b/>
          <w:bCs/>
          <w:color w:val="000000"/>
          <w:szCs w:val="21"/>
        </w:rPr>
        <w:t>成长表现：</w:t>
      </w:r>
      <w:r>
        <w:rPr>
          <w:rFonts w:hint="eastAsia"/>
          <w:color w:val="000000"/>
          <w:szCs w:val="21"/>
        </w:rPr>
        <w:t>成长表现＝（本企业累计销售收入 / 所有企业平均累计销售收入）×成长表现权重</w:t>
      </w:r>
      <w:r>
        <w:rPr>
          <w:rFonts w:hint="eastAsia"/>
          <w:color w:val="000000"/>
          <w:szCs w:val="21"/>
        </w:rPr>
        <w:br w:type="textWrapping"/>
      </w:r>
      <w:r>
        <w:rPr>
          <w:rFonts w:hint="eastAsia"/>
          <w:color w:val="FF0000"/>
          <w:szCs w:val="21"/>
        </w:rPr>
        <w:t>·成长表现最低为0.00，最高为20.00</w:t>
      </w:r>
    </w:p>
    <w:p>
      <w:pPr>
        <w:rPr>
          <w:szCs w:val="21"/>
        </w:rPr>
      </w:pPr>
      <w:r>
        <w:rPr>
          <w:rFonts w:hint="eastAsia"/>
          <w:szCs w:val="21"/>
        </w:rPr>
        <w:t>最终得分一般要扣除累计紧急借款扣分：紧急借款次数*单次紧急借款扣分。</w:t>
      </w:r>
    </w:p>
    <w:p>
      <w:pPr>
        <w:rPr>
          <w:szCs w:val="21"/>
        </w:rPr>
      </w:pPr>
      <w:r>
        <w:rPr>
          <w:rFonts w:hint="eastAsia"/>
          <w:szCs w:val="21"/>
        </w:rPr>
        <w:t>即：完成该季度后最终得分=该季度的综合表现-累计紧急借款扣分</w:t>
      </w:r>
    </w:p>
    <w:p>
      <w:pPr>
        <w:pStyle w:val="2"/>
        <w:numPr>
          <w:ilvl w:val="0"/>
          <w:numId w:val="1"/>
        </w:numPr>
        <w:rPr>
          <w:rStyle w:val="16"/>
          <w:b w:val="0"/>
          <w:bCs w:val="0"/>
          <w:sz w:val="32"/>
          <w:szCs w:val="32"/>
        </w:rPr>
      </w:pPr>
      <w:bookmarkStart w:id="7" w:name="_Toc365547889"/>
      <w:bookmarkStart w:id="8" w:name="_Toc380594061"/>
      <w:r>
        <w:rPr>
          <w:rStyle w:val="16"/>
          <w:rFonts w:hint="eastAsia"/>
          <w:b w:val="0"/>
          <w:bCs w:val="0"/>
          <w:sz w:val="32"/>
          <w:szCs w:val="32"/>
        </w:rPr>
        <w:t>季度结算</w:t>
      </w:r>
      <w:bookmarkEnd w:id="7"/>
      <w:bookmarkEnd w:id="8"/>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以下是进入下一季度时系统所做的主要操作，结算分两步，一步是计算本季度末的数据，另一步计算下季度初的数据。</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结算本季度末的相关数据，系统主要做以下操作（按先后顺序排列）：</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1.支付产品制造费用</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2.支付管理人员工资和五险</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3.更新设备搬迁</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4.更新设备升级</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5.更新厂房出售、设备出售</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6.更新生产工人培训</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7.扣除生产工人未签订合同罚金</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8.扣除销售人员未签订合同罚金</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9.扣除基本行政管理费用</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10.辞退生产工人</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11.辞退销售人员</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12.出售生产设备</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13.出售厂房或厂房退租</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14.检查并扣除管理人员未签订合同罚金</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15.检查并扣除未交货订单违约金</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16.银行还贷</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17.紧急贷款</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结算下季度初的相关数据，系统主要做以下操作（按先后顺序排列）：</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1.检查上季度未分配和未完成交付的订单数量，并转移到当前季度。</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2.公司注册费用（一季度扣除）</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3.计算公司应收账款，并收取</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4.计算公司应付账款，并支付</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5.计算上季度营业税，并支付</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6.扣除上季度增值税、城建税、所得税、教育附加税、地方教育附加税。</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7.扣除办公室租金</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8.更新原料到货状态</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9.更新预付账款状态</w:t>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10.更新原料到货状态</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br w:type="textWrapping"/>
      </w:r>
      <w:r>
        <w:rPr>
          <w:rFonts w:hint="eastAsia" w:asciiTheme="minorEastAsia" w:hAnsiTheme="minorEastAsia" w:eastAsiaTheme="minorEastAsia"/>
          <w:color w:val="000000"/>
          <w:szCs w:val="21"/>
        </w:rPr>
        <w:t>11.紧急贷款</w:t>
      </w:r>
    </w:p>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p>
    <w:p>
      <w:pPr>
        <w:ind w:left="210" w:right="210"/>
      </w:pPr>
      <w:r>
        <w:rPr>
          <w:rFonts w:hint="eastAsia" w:ascii="Verdana" w:hAnsi="Verdana"/>
          <w:b/>
          <w:bCs/>
          <w:color w:val="003399"/>
          <w:sz w:val="20"/>
          <w:szCs w:val="20"/>
        </w:rPr>
        <w:drawing>
          <wp:inline distT="0" distB="0" distL="0" distR="0">
            <wp:extent cx="2200275" cy="190500"/>
            <wp:effectExtent l="0" t="0" r="9525" b="0"/>
            <wp:docPr id="4" name="图片 4" descr="D:\Program Files\Foxmail\Template\Images\公司名称(2)1(11-22-1(02-26-10-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Program Files\Foxmail\Template\Images\公司名称(2)1(11-22-1(02-26-10-54-4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200275" cy="190500"/>
                    </a:xfrm>
                    <a:prstGeom prst="rect">
                      <a:avLst/>
                    </a:prstGeom>
                    <a:noFill/>
                    <a:ln>
                      <a:noFill/>
                    </a:ln>
                  </pic:spPr>
                </pic:pic>
              </a:graphicData>
            </a:graphic>
          </wp:inline>
        </w:drawing>
      </w:r>
    </w:p>
    <w:p>
      <w:pPr>
        <w:spacing w:line="360" w:lineRule="auto"/>
        <w:ind w:left="210" w:right="210"/>
      </w:pPr>
    </w:p>
    <w:p>
      <w:pPr>
        <w:spacing w:line="360" w:lineRule="auto"/>
        <w:ind w:left="210" w:right="210"/>
        <w:rPr>
          <w:rFonts w:ascii="Verdana" w:hAnsi="Verdana"/>
          <w:b/>
          <w:bCs/>
          <w:color w:val="000000"/>
        </w:rPr>
      </w:pPr>
      <w:r>
        <w:rPr>
          <w:rFonts w:ascii="Verdana" w:hAnsi="Verdana"/>
          <w:b/>
          <w:bCs/>
          <w:color w:val="000000"/>
        </w:rPr>
        <w:t>Tel：+86.571.8819.7889</w:t>
      </w:r>
    </w:p>
    <w:p>
      <w:pPr>
        <w:spacing w:line="360" w:lineRule="auto"/>
        <w:ind w:left="210" w:right="210"/>
        <w:rPr>
          <w:rFonts w:ascii="Verdana" w:hAnsi="Verdana"/>
          <w:b/>
          <w:bCs/>
          <w:color w:val="000000"/>
        </w:rPr>
      </w:pPr>
      <w:r>
        <w:rPr>
          <w:rFonts w:hint="eastAsia" w:ascii="Verdana" w:hAnsi="Verdana"/>
          <w:b/>
          <w:bCs/>
          <w:color w:val="000000"/>
        </w:rPr>
        <w:t>学创杯教师群</w:t>
      </w:r>
      <w:r>
        <w:rPr>
          <w:rFonts w:ascii="Verdana" w:hAnsi="Verdana"/>
          <w:b/>
          <w:bCs/>
          <w:color w:val="000000"/>
        </w:rPr>
        <w:t>：292297555</w:t>
      </w:r>
      <w:r>
        <w:rPr>
          <w:rFonts w:hint="eastAsia" w:ascii="Verdana" w:hAnsi="Verdana"/>
          <w:b/>
          <w:bCs/>
          <w:color w:val="000000"/>
        </w:rPr>
        <w:t xml:space="preserve">    学创杯</w:t>
      </w:r>
      <w:r>
        <w:rPr>
          <w:rFonts w:ascii="Verdana" w:hAnsi="Verdana"/>
          <w:b/>
          <w:bCs/>
          <w:color w:val="000000"/>
        </w:rPr>
        <w:t>学生群：31591877</w:t>
      </w:r>
    </w:p>
    <w:p>
      <w:pPr>
        <w:spacing w:line="360" w:lineRule="auto"/>
        <w:ind w:left="210" w:right="210"/>
        <w:rPr>
          <w:rFonts w:ascii="Verdana" w:hAnsi="Verdana"/>
          <w:b/>
          <w:bCs/>
          <w:color w:val="000000"/>
        </w:rPr>
      </w:pPr>
      <w:r>
        <w:rPr>
          <w:rFonts w:hint="eastAsia" w:ascii="Verdana" w:hAnsi="Verdana"/>
          <w:b/>
          <w:bCs/>
          <w:color w:val="000000"/>
        </w:rPr>
        <w:t>学创杯</w:t>
      </w:r>
      <w:r>
        <w:rPr>
          <w:rFonts w:ascii="Verdana" w:hAnsi="Verdana"/>
          <w:b/>
          <w:bCs/>
          <w:color w:val="000000"/>
        </w:rPr>
        <w:t>官网：http://cyds.monilab.com/</w:t>
      </w:r>
    </w:p>
    <w:p>
      <w:pPr>
        <w:widowControl/>
        <w:wordWrap w:val="0"/>
        <w:spacing w:line="384" w:lineRule="auto"/>
        <w:ind w:left="210" w:right="210"/>
        <w:jc w:val="left"/>
        <w:rPr>
          <w:rFonts w:ascii="Verdana" w:hAnsi="Verdana" w:cs="宋体"/>
          <w:b/>
          <w:bCs/>
          <w:color w:val="003399"/>
          <w:kern w:val="0"/>
          <w:sz w:val="20"/>
          <w:szCs w:val="20"/>
        </w:rPr>
      </w:pPr>
      <w:r>
        <w:rPr>
          <w:rFonts w:ascii="Verdana" w:hAnsi="Verdana" w:cs="宋体"/>
          <w:b/>
          <w:bCs/>
          <w:color w:val="003399"/>
          <w:kern w:val="0"/>
          <w:sz w:val="20"/>
          <w:szCs w:val="20"/>
        </w:rPr>
        <w:t>高校创新创业及财经管理人才培养解决方案</w:t>
      </w:r>
    </w:p>
    <w:p>
      <w:pPr>
        <w:widowControl/>
        <w:wordWrap w:val="0"/>
        <w:spacing w:line="384" w:lineRule="auto"/>
        <w:ind w:left="210" w:right="210"/>
        <w:jc w:val="left"/>
        <w:rPr>
          <w:rFonts w:ascii="Verdana" w:hAnsi="Verdana" w:cs="宋体"/>
          <w:b/>
          <w:bCs/>
          <w:color w:val="FF0000"/>
          <w:kern w:val="0"/>
          <w:sz w:val="20"/>
          <w:szCs w:val="20"/>
        </w:rPr>
      </w:pPr>
      <w:r>
        <w:rPr>
          <w:rFonts w:ascii="Verdana" w:hAnsi="Verdana" w:cs="宋体"/>
          <w:b/>
          <w:bCs/>
          <w:color w:val="FF0000"/>
          <w:kern w:val="0"/>
          <w:sz w:val="20"/>
          <w:szCs w:val="20"/>
        </w:rPr>
        <w:t>创业之星·决策之道·经营之道·经商之道·用人之道·理财之道·营销之道·流通之道·电子沙盘·校级创业平台</w:t>
      </w:r>
    </w:p>
    <w:p>
      <w:pPr>
        <w:widowControl/>
        <w:wordWrap w:val="0"/>
        <w:spacing w:line="384" w:lineRule="auto"/>
        <w:ind w:left="210" w:right="210"/>
        <w:jc w:val="left"/>
        <w:rPr>
          <w:rFonts w:ascii="Verdana" w:hAnsi="Verdana" w:cs="宋体"/>
          <w:b/>
          <w:bCs/>
          <w:color w:val="FF0000"/>
          <w:kern w:val="0"/>
          <w:sz w:val="20"/>
          <w:szCs w:val="20"/>
        </w:rPr>
      </w:pPr>
      <w:r>
        <w:rPr>
          <w:rFonts w:ascii="Verdana" w:hAnsi="Verdana" w:cs="宋体"/>
          <w:b/>
          <w:bCs/>
          <w:color w:val="FF0000"/>
          <w:kern w:val="0"/>
          <w:sz w:val="20"/>
          <w:szCs w:val="20"/>
        </w:rPr>
        <w:t>教育部团中央“挑战杯”中国大学生创业计划竞赛长期战略合作伙伴</w:t>
      </w:r>
    </w:p>
    <w:p>
      <w:pPr>
        <w:widowControl/>
        <w:wordWrap w:val="0"/>
        <w:spacing w:line="384" w:lineRule="auto"/>
        <w:ind w:left="210" w:right="210"/>
        <w:jc w:val="left"/>
        <w:rPr>
          <w:rFonts w:ascii="Verdana" w:hAnsi="Verdana" w:cs="宋体"/>
          <w:b/>
          <w:bCs/>
          <w:color w:val="FF0000"/>
          <w:kern w:val="0"/>
          <w:sz w:val="20"/>
          <w:szCs w:val="20"/>
        </w:rPr>
      </w:pPr>
      <w:r>
        <w:rPr>
          <w:rFonts w:ascii="Verdana" w:hAnsi="Verdana" w:cs="宋体"/>
          <w:b/>
          <w:bCs/>
          <w:color w:val="FF0000"/>
          <w:kern w:val="0"/>
          <w:sz w:val="20"/>
          <w:szCs w:val="20"/>
        </w:rPr>
        <w:t>教育部国家级实验教学示范中心经管学科组“学创杯”创业大赛长期战备合作伙伴</w:t>
      </w:r>
    </w:p>
    <w:p>
      <w:pPr>
        <w:widowControl/>
        <w:wordWrap w:val="0"/>
        <w:spacing w:line="384" w:lineRule="auto"/>
        <w:ind w:left="210" w:right="210"/>
        <w:jc w:val="left"/>
        <w:rPr>
          <w:rFonts w:ascii="Verdana" w:hAnsi="Verdana" w:cs="宋体"/>
          <w:b/>
          <w:bCs/>
          <w:color w:val="003399"/>
          <w:kern w:val="0"/>
          <w:sz w:val="24"/>
          <w:szCs w:val="24"/>
        </w:rPr>
      </w:pPr>
      <w:r>
        <w:rPr>
          <w:rFonts w:ascii="Verdana" w:hAnsi="Verdana" w:cs="宋体"/>
          <w:b/>
          <w:bCs/>
          <w:color w:val="003399"/>
          <w:kern w:val="0"/>
          <w:sz w:val="24"/>
          <w:szCs w:val="24"/>
        </w:rPr>
        <w:pict>
          <v:rect id="_x0000_i1025" o:spt="1" style="height:0.75pt;width:453pt;" fillcolor="#A0A0A0" filled="t" stroked="f" coordsize="21600,21600" o:hr="t" o:hrstd="t" o:hrpct="0" o:hralign="center">
            <v:path/>
            <v:fill on="t" focussize="0,0"/>
            <v:stroke on="f"/>
            <v:imagedata o:title=""/>
            <o:lock v:ext="edit"/>
            <w10:wrap type="none"/>
            <w10:anchorlock/>
          </v:rect>
        </w:pict>
      </w:r>
    </w:p>
    <w:p>
      <w:pPr>
        <w:ind w:left="210" w:right="210"/>
        <w:rPr>
          <w:rFonts w:ascii="Verdana" w:hAnsi="Verdana"/>
          <w:b/>
          <w:bCs/>
          <w:color w:val="000000"/>
        </w:rPr>
      </w:pPr>
      <w:r>
        <w:rPr>
          <w:rFonts w:hint="eastAsia" w:ascii="Verdana" w:hAnsi="Verdana"/>
          <w:b/>
          <w:bCs/>
          <w:color w:val="000000"/>
        </w:rPr>
        <w:t>贝腾</w:t>
      </w:r>
      <w:r>
        <w:rPr>
          <w:rFonts w:ascii="Verdana" w:hAnsi="Verdana"/>
          <w:b/>
          <w:bCs/>
          <w:color w:val="000000"/>
        </w:rPr>
        <w:t>微信公众号</w:t>
      </w:r>
      <w:r>
        <w:rPr>
          <w:rFonts w:hint="eastAsia" w:ascii="Verdana" w:hAnsi="Verdana"/>
          <w:b/>
          <w:bCs/>
          <w:color w:val="000000"/>
        </w:rPr>
        <w:t xml:space="preserve">      学创杯</w:t>
      </w:r>
      <w:r>
        <w:rPr>
          <w:rFonts w:ascii="Verdana" w:hAnsi="Verdana"/>
          <w:b/>
          <w:bCs/>
          <w:color w:val="000000"/>
        </w:rPr>
        <w:t>微信公众号</w:t>
      </w:r>
    </w:p>
    <w:p>
      <w:pPr>
        <w:ind w:left="210" w:right="210"/>
        <w:jc w:val="left"/>
      </w:pPr>
      <w:r>
        <w:rPr>
          <w:rFonts w:hint="eastAsia" w:ascii="Verdana" w:hAnsi="Verdana"/>
          <w:b/>
          <w:bCs/>
          <w:color w:val="C0C0C0"/>
          <w:sz w:val="20"/>
          <w:szCs w:val="20"/>
        </w:rPr>
        <w:drawing>
          <wp:inline distT="0" distB="0" distL="0" distR="0">
            <wp:extent cx="2324735" cy="2330450"/>
            <wp:effectExtent l="0" t="0" r="0" b="0"/>
            <wp:docPr id="19" name="图片 19" descr="D:\Program Files\Foxmail\Template\Images\贝腾科技二维码(02-26-10-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Program Files\Foxmail\Template\Images\贝腾科技二维码(02-26-10-54-4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45410" cy="2350878"/>
                    </a:xfrm>
                    <a:prstGeom prst="rect">
                      <a:avLst/>
                    </a:prstGeom>
                    <a:noFill/>
                    <a:ln>
                      <a:noFill/>
                    </a:ln>
                  </pic:spPr>
                </pic:pic>
              </a:graphicData>
            </a:graphic>
          </wp:inline>
        </w:drawing>
      </w:r>
      <w:r>
        <w:drawing>
          <wp:inline distT="0" distB="0" distL="0" distR="0">
            <wp:extent cx="2447925" cy="25387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5"/>
                    <a:stretch>
                      <a:fillRect/>
                    </a:stretch>
                  </pic:blipFill>
                  <pic:spPr>
                    <a:xfrm>
                      <a:off x="0" y="0"/>
                      <a:ext cx="2499384" cy="2592669"/>
                    </a:xfrm>
                    <a:prstGeom prst="rect">
                      <a:avLst/>
                    </a:prstGeom>
                  </pic:spPr>
                </pic:pic>
              </a:graphicData>
            </a:graphic>
          </wp:inline>
        </w:drawing>
      </w:r>
    </w:p>
    <w:p>
      <w:pPr>
        <w:widowControl/>
        <w:wordWrap w:val="0"/>
        <w:spacing w:line="384" w:lineRule="auto"/>
        <w:ind w:left="210" w:right="210"/>
        <w:jc w:val="left"/>
        <w:rPr>
          <w:rFonts w:ascii="宋体" w:hAnsi="宋体" w:cs="宋体"/>
          <w:b/>
          <w:bCs/>
          <w:color w:val="003399"/>
          <w:kern w:val="0"/>
          <w:sz w:val="24"/>
          <w:szCs w:val="24"/>
        </w:rPr>
      </w:pPr>
    </w:p>
    <w:p>
      <w:pPr>
        <w:autoSpaceDE w:val="0"/>
        <w:autoSpaceDN w:val="0"/>
        <w:adjustRightInd w:val="0"/>
        <w:jc w:val="left"/>
        <w:rPr>
          <w:rFonts w:ascii="宋体" w:cs="宋体"/>
          <w:color w:val="000000"/>
          <w:kern w:val="0"/>
          <w:sz w:val="24"/>
          <w:szCs w:val="24"/>
        </w:rPr>
      </w:pPr>
    </w:p>
    <w:p>
      <w:pPr>
        <w:ind w:left="210" w:right="210"/>
        <w:jc w:val="left"/>
      </w:pPr>
    </w:p>
    <w:p>
      <w:pPr>
        <w:ind w:left="210" w:right="210"/>
        <w:jc w:val="left"/>
      </w:pPr>
      <w:r>
        <w:rPr>
          <w:rFonts w:hint="eastAsia"/>
        </w:rPr>
        <w:t xml:space="preserve">                                         </w:t>
      </w:r>
    </w:p>
    <w:p>
      <w:pPr>
        <w:ind w:right="210"/>
        <w:jc w:val="left"/>
        <w:rPr>
          <w:rFonts w:ascii="黑体" w:eastAsia="黑体" w:cs="宋体"/>
          <w:sz w:val="36"/>
          <w:szCs w:val="36"/>
        </w:rPr>
      </w:pPr>
    </w:p>
    <w:p>
      <w:pPr>
        <w:rPr>
          <w:rFonts w:hint="eastAsia" w:asciiTheme="minorEastAsia" w:hAnsiTheme="minorEastAsia" w:eastAsiaTheme="minorEastAsia"/>
          <w:b/>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posOffset>98425</wp:posOffset>
              </wp:positionH>
              <wp:positionV relativeFrom="line">
                <wp:posOffset>-326390</wp:posOffset>
              </wp:positionV>
              <wp:extent cx="7366635" cy="530860"/>
              <wp:effectExtent l="5080" t="4445" r="19685" b="17145"/>
              <wp:wrapTopAndBottom/>
              <wp:docPr id="23" name="组合 1"/>
              <wp:cNvGraphicFramePr/>
              <a:graphic xmlns:a="http://schemas.openxmlformats.org/drawingml/2006/main">
                <a:graphicData uri="http://schemas.microsoft.com/office/word/2010/wordprocessingGroup">
                  <wpg:wgp>
                    <wpg:cNvGrpSpPr/>
                    <wpg:grpSpPr>
                      <a:xfrm>
                        <a:off x="0" y="0"/>
                        <a:ext cx="7366635" cy="530860"/>
                        <a:chOff x="321" y="14850"/>
                        <a:chExt cx="11601" cy="547"/>
                      </a:xfrm>
                    </wpg:grpSpPr>
                    <wps:wsp>
                      <wps:cNvPr id="20" name="矩形 2"/>
                      <wps:cNvSpPr/>
                      <wps:spPr>
                        <a:xfrm>
                          <a:off x="374" y="14903"/>
                          <a:ext cx="9346" cy="432"/>
                        </a:xfrm>
                        <a:prstGeom prst="rect">
                          <a:avLst/>
                        </a:prstGeom>
                        <a:solidFill>
                          <a:srgbClr val="943634"/>
                        </a:solidFill>
                        <a:ln>
                          <a:noFill/>
                        </a:ln>
                      </wps:spPr>
                      <wps:txbx>
                        <w:txbxContent>
                          <w:p>
                            <w:pPr>
                              <w:pStyle w:val="5"/>
                              <w:ind w:left="210" w:right="210"/>
                              <w:rPr>
                                <w:color w:val="C7EDCC"/>
                                <w:spacing w:val="60"/>
                              </w:rPr>
                            </w:pPr>
                            <w:r>
                              <w:rPr>
                                <w:rFonts w:hint="eastAsia"/>
                                <w:b/>
                                <w:color w:val="C7EDCC"/>
                                <w:spacing w:val="60"/>
                                <w:sz w:val="21"/>
                                <w:szCs w:val="21"/>
                              </w:rPr>
                              <w:t>www.monilab.com       中国大学生创业教育第一品牌</w:t>
                            </w:r>
                          </w:p>
                          <w:p>
                            <w:pPr>
                              <w:pStyle w:val="6"/>
                              <w:ind w:left="210" w:right="210"/>
                              <w:rPr>
                                <w:color w:val="C7EDCC"/>
                              </w:rPr>
                            </w:pPr>
                          </w:p>
                        </w:txbxContent>
                      </wps:txbx>
                      <wps:bodyPr upright="1"/>
                    </wps:wsp>
                    <wps:wsp>
                      <wps:cNvPr id="21" name="矩形 3"/>
                      <wps:cNvSpPr/>
                      <wps:spPr>
                        <a:xfrm>
                          <a:off x="9763" y="14903"/>
                          <a:ext cx="2102" cy="432"/>
                        </a:xfrm>
                        <a:prstGeom prst="rect">
                          <a:avLst/>
                        </a:prstGeom>
                        <a:solidFill>
                          <a:srgbClr val="943634"/>
                        </a:solidFill>
                        <a:ln>
                          <a:noFill/>
                        </a:ln>
                      </wps:spPr>
                      <wps:txbx>
                        <w:txbxContent>
                          <w:p>
                            <w:pPr>
                              <w:pStyle w:val="5"/>
                              <w:ind w:left="210" w:right="210"/>
                              <w:rPr>
                                <w:color w:val="C7EDCC"/>
                              </w:rPr>
                            </w:pPr>
                            <w:r>
                              <w:fldChar w:fldCharType="begin"/>
                            </w:r>
                            <w:r>
                              <w:instrText xml:space="preserve"> PAGE   \* MERGEFORMAT </w:instrText>
                            </w:r>
                            <w:r>
                              <w:fldChar w:fldCharType="separate"/>
                            </w:r>
                            <w:r>
                              <w:rPr>
                                <w:color w:val="C7EDCC"/>
                                <w:lang w:val="zh-CN"/>
                              </w:rPr>
                              <w:t>17</w:t>
                            </w:r>
                            <w:r>
                              <w:rPr>
                                <w:color w:val="C7EDCC"/>
                                <w:lang w:val="zh-CN"/>
                              </w:rPr>
                              <w:fldChar w:fldCharType="end"/>
                            </w:r>
                          </w:p>
                        </w:txbxContent>
                      </wps:txbx>
                      <wps:bodyPr upright="1"/>
                    </wps:wsp>
                    <wps:wsp>
                      <wps:cNvPr id="22" name="矩形 4"/>
                      <wps:cNvSpPr/>
                      <wps:spPr>
                        <a:xfrm>
                          <a:off x="321" y="14850"/>
                          <a:ext cx="11601" cy="547"/>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1" o:spid="_x0000_s1026" o:spt="203" style="position:absolute;left:0pt;margin-left:7.75pt;margin-top:-25.7pt;height:41.8pt;width:580.05pt;mso-position-horizontal-relative:page;mso-position-vertical-relative:line;mso-wrap-distance-bottom:0pt;mso-wrap-distance-top:0pt;z-index:251659264;mso-width-relative:page;mso-height-relative:page;" coordorigin="321,14850" coordsize="11601,547" o:gfxdata="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Cz0rl2QAAAAoBAAAPAAAAAAAAAAEAIAAAACIAAABkcnMvZG93bnJldi54bWxQSwECFAAUAAAA&#10;CACHTuJAxQ/tQNECAABDCAAADgAAAAAAAAABACAAAAAoAQAAZHJzL2Uyb0RvYy54bWxQSwUGAAAA&#10;AAYABgBZAQAAawYAAAAA&#10;">
              <o:lock v:ext="edit" aspectratio="f"/>
              <v:rect id="矩形 2" o:spid="_x0000_s1026" o:spt="1" style="position:absolute;left:374;top:14903;height:432;width:9346;" fillcolor="#943634" filled="t" stroked="f" coordsize="21600,21600" o:gfxdata="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fC1WtwAAANs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pStyle w:val="5"/>
                        <w:ind w:left="210" w:right="210"/>
                        <w:rPr>
                          <w:color w:val="C7EDCC"/>
                          <w:spacing w:val="60"/>
                        </w:rPr>
                      </w:pPr>
                      <w:r>
                        <w:rPr>
                          <w:rFonts w:hint="eastAsia"/>
                          <w:b/>
                          <w:color w:val="C7EDCC"/>
                          <w:spacing w:val="60"/>
                          <w:sz w:val="21"/>
                          <w:szCs w:val="21"/>
                        </w:rPr>
                        <w:t>www.monilab.com       中国大学生创业教育第一品牌</w:t>
                      </w:r>
                    </w:p>
                    <w:p>
                      <w:pPr>
                        <w:pStyle w:val="6"/>
                        <w:ind w:left="210" w:right="210"/>
                        <w:rPr>
                          <w:color w:val="C7EDCC"/>
                        </w:rPr>
                      </w:pPr>
                    </w:p>
                  </w:txbxContent>
                </v:textbox>
              </v:rect>
              <v:rect id="矩形 3" o:spid="_x0000_s1026" o:spt="1" style="position:absolute;left:9763;top:14903;height:432;width:2102;" fillcolor="#943634" filled="t" stroked="f" coordsize="21600,21600" o:gfxdata="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iM2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pStyle w:val="5"/>
                        <w:ind w:left="210" w:right="210"/>
                        <w:rPr>
                          <w:color w:val="C7EDCC"/>
                        </w:rPr>
                      </w:pPr>
                      <w:r>
                        <w:fldChar w:fldCharType="begin"/>
                      </w:r>
                      <w:r>
                        <w:instrText xml:space="preserve"> PAGE   \* MERGEFORMAT </w:instrText>
                      </w:r>
                      <w:r>
                        <w:fldChar w:fldCharType="separate"/>
                      </w:r>
                      <w:r>
                        <w:rPr>
                          <w:color w:val="C7EDCC"/>
                          <w:lang w:val="zh-CN"/>
                        </w:rPr>
                        <w:t>17</w:t>
                      </w:r>
                      <w:r>
                        <w:rPr>
                          <w:color w:val="C7EDCC"/>
                          <w:lang w:val="zh-CN"/>
                        </w:rPr>
                        <w:fldChar w:fldCharType="end"/>
                      </w:r>
                    </w:p>
                  </w:txbxContent>
                </v:textbox>
              </v:rect>
              <v:rect id="矩形 4" o:spid="_x0000_s1026" o:spt="1" style="position:absolute;left:321;top:14850;height:547;width:11601;" filled="f" stroked="t" coordsize="21600,21600" o:gfxdata="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Ns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w10:wrap type="topAndBottom"/>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275" w:leftChars="-607"/>
    </w:pPr>
    <w:r>
      <w:drawing>
        <wp:inline distT="0" distB="0" distL="0" distR="0">
          <wp:extent cx="1354455" cy="362585"/>
          <wp:effectExtent l="19050" t="0" r="0" b="0"/>
          <wp:docPr id="1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
                  <pic:cNvPicPr>
                    <a:picLocks noChangeAspect="1" noChangeArrowheads="1"/>
                  </pic:cNvPicPr>
                </pic:nvPicPr>
                <pic:blipFill>
                  <a:blip r:embed="rId1"/>
                  <a:srcRect/>
                  <a:stretch>
                    <a:fillRect/>
                  </a:stretch>
                </pic:blipFill>
                <pic:spPr>
                  <a:xfrm>
                    <a:off x="0" y="0"/>
                    <a:ext cx="1354455" cy="362585"/>
                  </a:xfrm>
                  <a:prstGeom prst="rect">
                    <a:avLst/>
                  </a:prstGeom>
                  <a:noFill/>
                  <a:ln w="9525">
                    <a:noFill/>
                    <a:miter lim="800000"/>
                    <a:headEnd/>
                    <a:tailEnd/>
                  </a:ln>
                </pic:spPr>
              </pic:pic>
            </a:graphicData>
          </a:graphic>
        </wp:inline>
      </w:drawing>
    </w:r>
    <w:r>
      <w:rPr>
        <w:rFonts w:hint="eastAsia"/>
        <w:b/>
        <w:sz w:val="21"/>
        <w:szCs w:val="21"/>
      </w:rPr>
      <w:t>《创业之星－“学创杯”创业模拟竞赛平台》智能</w:t>
    </w:r>
    <w:r>
      <w:rPr>
        <w:b/>
        <w:sz w:val="21"/>
        <w:szCs w:val="21"/>
      </w:rPr>
      <w:t>手环</w:t>
    </w:r>
    <w:r>
      <w:rPr>
        <w:rFonts w:hint="eastAsia"/>
        <w:b/>
        <w:sz w:val="21"/>
        <w:szCs w:val="21"/>
      </w:rPr>
      <w:t>数据规则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tabs>
          <w:tab w:val="left" w:pos="720"/>
        </w:tabs>
        <w:ind w:left="360" w:firstLine="0"/>
      </w:pPr>
      <w:rPr>
        <w:rFonts w:hint="default" w:ascii="Symbol" w:hAnsi="Symbol" w:eastAsia="宋体"/>
        <w:color w:val="000000"/>
        <w:sz w:val="20"/>
        <w:lang w:eastAsia="zh-C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C"/>
    <w:multiLevelType w:val="multilevel"/>
    <w:tmpl w:val="0000000C"/>
    <w:lvl w:ilvl="0" w:tentative="0">
      <w:start w:val="1"/>
      <w:numFmt w:val="bullet"/>
      <w:lvlText w:val=""/>
      <w:lvlJc w:val="left"/>
      <w:pPr>
        <w:tabs>
          <w:tab w:val="left" w:pos="720"/>
        </w:tabs>
        <w:ind w:left="360" w:firstLine="0"/>
      </w:pPr>
      <w:rPr>
        <w:rFonts w:hint="default" w:ascii="Symbol" w:hAnsi="Symbol" w:eastAsia="宋体"/>
        <w:color w:val="000000"/>
        <w:sz w:val="20"/>
        <w:lang w:eastAsia="zh-C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0D"/>
    <w:multiLevelType w:val="singleLevel"/>
    <w:tmpl w:val="0000000D"/>
    <w:lvl w:ilvl="0" w:tentative="0">
      <w:start w:val="2"/>
      <w:numFmt w:val="decimal"/>
      <w:suff w:val="nothing"/>
      <w:lvlText w:val="%1."/>
      <w:lvlJc w:val="left"/>
      <w:rPr>
        <w:sz w:val="21"/>
        <w:szCs w:val="21"/>
      </w:rPr>
    </w:lvl>
  </w:abstractNum>
  <w:abstractNum w:abstractNumId="3">
    <w:nsid w:val="0000000E"/>
    <w:multiLevelType w:val="multilevel"/>
    <w:tmpl w:val="0000000E"/>
    <w:lvl w:ilvl="0" w:tentative="0">
      <w:start w:val="1"/>
      <w:numFmt w:val="chineseCountingThousand"/>
      <w:lvlText w:val="第%1部分"/>
      <w:lvlJc w:val="left"/>
      <w:pPr>
        <w:ind w:left="420" w:hanging="420"/>
      </w:pPr>
      <w:rPr>
        <w:rFonts w:hint="default"/>
      </w:rPr>
    </w:lvl>
    <w:lvl w:ilvl="1" w:tentative="0">
      <w:start w:val="1"/>
      <w:numFmt w:val="lowerLetter"/>
      <w:lvlText w:val="%2)"/>
      <w:lvlJc w:val="left"/>
      <w:pPr>
        <w:ind w:left="1044" w:hanging="420"/>
      </w:pPr>
    </w:lvl>
    <w:lvl w:ilvl="2" w:tentative="0">
      <w:start w:val="1"/>
      <w:numFmt w:val="lowerRoman"/>
      <w:lvlText w:val="%3."/>
      <w:lvlJc w:val="right"/>
      <w:pPr>
        <w:ind w:left="1464" w:hanging="420"/>
      </w:pPr>
    </w:lvl>
    <w:lvl w:ilvl="3" w:tentative="0">
      <w:start w:val="1"/>
      <w:numFmt w:val="decimal"/>
      <w:lvlText w:val="%4."/>
      <w:lvlJc w:val="left"/>
      <w:pPr>
        <w:ind w:left="1884" w:hanging="420"/>
      </w:pPr>
    </w:lvl>
    <w:lvl w:ilvl="4" w:tentative="0">
      <w:start w:val="1"/>
      <w:numFmt w:val="lowerLetter"/>
      <w:lvlText w:val="%5)"/>
      <w:lvlJc w:val="left"/>
      <w:pPr>
        <w:ind w:left="2304" w:hanging="420"/>
      </w:pPr>
    </w:lvl>
    <w:lvl w:ilvl="5" w:tentative="0">
      <w:start w:val="1"/>
      <w:numFmt w:val="lowerRoman"/>
      <w:lvlText w:val="%6."/>
      <w:lvlJc w:val="right"/>
      <w:pPr>
        <w:ind w:left="2724" w:hanging="420"/>
      </w:pPr>
    </w:lvl>
    <w:lvl w:ilvl="6" w:tentative="0">
      <w:start w:val="1"/>
      <w:numFmt w:val="decimal"/>
      <w:lvlText w:val="%7."/>
      <w:lvlJc w:val="left"/>
      <w:pPr>
        <w:ind w:left="3144" w:hanging="420"/>
      </w:pPr>
    </w:lvl>
    <w:lvl w:ilvl="7" w:tentative="0">
      <w:start w:val="1"/>
      <w:numFmt w:val="lowerLetter"/>
      <w:lvlText w:val="%8)"/>
      <w:lvlJc w:val="left"/>
      <w:pPr>
        <w:ind w:left="3564" w:hanging="420"/>
      </w:pPr>
    </w:lvl>
    <w:lvl w:ilvl="8" w:tentative="0">
      <w:start w:val="1"/>
      <w:numFmt w:val="lowerRoman"/>
      <w:lvlText w:val="%9."/>
      <w:lvlJc w:val="right"/>
      <w:pPr>
        <w:ind w:left="3984" w:hanging="420"/>
      </w:pPr>
    </w:lvl>
  </w:abstractNum>
  <w:abstractNum w:abstractNumId="4">
    <w:nsid w:val="45300416"/>
    <w:multiLevelType w:val="multilevel"/>
    <w:tmpl w:val="453004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62"/>
    <w:rsid w:val="000737A7"/>
    <w:rsid w:val="00073A01"/>
    <w:rsid w:val="00082E0A"/>
    <w:rsid w:val="00086E4C"/>
    <w:rsid w:val="000930C6"/>
    <w:rsid w:val="00097D48"/>
    <w:rsid w:val="000E6BEF"/>
    <w:rsid w:val="00153CBF"/>
    <w:rsid w:val="001A3DDE"/>
    <w:rsid w:val="001D3382"/>
    <w:rsid w:val="002146AB"/>
    <w:rsid w:val="0023735C"/>
    <w:rsid w:val="00317524"/>
    <w:rsid w:val="003F4967"/>
    <w:rsid w:val="00420428"/>
    <w:rsid w:val="004A7B3B"/>
    <w:rsid w:val="004D544F"/>
    <w:rsid w:val="004E0D6E"/>
    <w:rsid w:val="00504383"/>
    <w:rsid w:val="00504C68"/>
    <w:rsid w:val="00577862"/>
    <w:rsid w:val="005B69D5"/>
    <w:rsid w:val="006B2197"/>
    <w:rsid w:val="006E3B5D"/>
    <w:rsid w:val="007127F9"/>
    <w:rsid w:val="0072616B"/>
    <w:rsid w:val="00761A52"/>
    <w:rsid w:val="00837F72"/>
    <w:rsid w:val="00845BCC"/>
    <w:rsid w:val="008621E7"/>
    <w:rsid w:val="00863950"/>
    <w:rsid w:val="008E6CB2"/>
    <w:rsid w:val="00946A6D"/>
    <w:rsid w:val="00960751"/>
    <w:rsid w:val="009908E2"/>
    <w:rsid w:val="00995BDC"/>
    <w:rsid w:val="009F143B"/>
    <w:rsid w:val="00A812FE"/>
    <w:rsid w:val="00AF3E06"/>
    <w:rsid w:val="00B84B0B"/>
    <w:rsid w:val="00C343CC"/>
    <w:rsid w:val="00C349C6"/>
    <w:rsid w:val="00C448DD"/>
    <w:rsid w:val="00C44E49"/>
    <w:rsid w:val="00CF2715"/>
    <w:rsid w:val="00D424C9"/>
    <w:rsid w:val="00DA0C92"/>
    <w:rsid w:val="00E01A42"/>
    <w:rsid w:val="00E4203A"/>
    <w:rsid w:val="00E53CAB"/>
    <w:rsid w:val="00E55CAB"/>
    <w:rsid w:val="00E9198B"/>
    <w:rsid w:val="00EE18CB"/>
    <w:rsid w:val="00F72267"/>
    <w:rsid w:val="00FA5900"/>
    <w:rsid w:val="00FE1C5A"/>
    <w:rsid w:val="35A07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8"/>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toc 3"/>
    <w:basedOn w:val="1"/>
    <w:next w:val="1"/>
    <w:uiPriority w:val="0"/>
    <w:pPr>
      <w:widowControl/>
      <w:spacing w:after="100" w:line="276" w:lineRule="auto"/>
      <w:ind w:left="440"/>
      <w:jc w:val="left"/>
    </w:pPr>
    <w:rPr>
      <w:rFonts w:cs="Times New Roman"/>
      <w:kern w:val="0"/>
      <w:sz w:val="22"/>
    </w:rPr>
  </w:style>
  <w:style w:type="paragraph" w:styleId="4">
    <w:name w:val="Balloon Text"/>
    <w:basedOn w:val="1"/>
    <w:link w:val="19"/>
    <w:uiPriority w:val="0"/>
    <w:rPr>
      <w:sz w:val="18"/>
      <w:szCs w:val="18"/>
    </w:rPr>
  </w:style>
  <w:style w:type="paragraph" w:styleId="5">
    <w:name w:val="footer"/>
    <w:basedOn w:val="1"/>
    <w:link w:val="20"/>
    <w:uiPriority w:val="99"/>
    <w:pPr>
      <w:tabs>
        <w:tab w:val="center" w:pos="4153"/>
        <w:tab w:val="right" w:pos="8306"/>
      </w:tabs>
      <w:snapToGrid w:val="0"/>
      <w:jc w:val="left"/>
    </w:pPr>
    <w:rPr>
      <w:sz w:val="18"/>
      <w:szCs w:val="18"/>
    </w:rPr>
  </w:style>
  <w:style w:type="paragraph" w:styleId="6">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pPr>
      <w:widowControl/>
      <w:spacing w:after="100" w:line="276" w:lineRule="auto"/>
      <w:jc w:val="left"/>
    </w:pPr>
    <w:rPr>
      <w:rFonts w:cs="Times New Roman"/>
      <w:kern w:val="0"/>
      <w:sz w:val="22"/>
    </w:rPr>
  </w:style>
  <w:style w:type="paragraph" w:styleId="8">
    <w:name w:val="toc 2"/>
    <w:basedOn w:val="1"/>
    <w:next w:val="1"/>
    <w:uiPriority w:val="0"/>
    <w:pPr>
      <w:widowControl/>
      <w:spacing w:after="100" w:line="276" w:lineRule="auto"/>
      <w:ind w:left="220"/>
      <w:jc w:val="left"/>
    </w:pPr>
    <w:rPr>
      <w:rFonts w:cs="Times New Roman"/>
      <w:kern w:val="0"/>
      <w:sz w:val="22"/>
    </w:rPr>
  </w:style>
  <w:style w:type="paragraph" w:styleId="9">
    <w:name w:val="Title"/>
    <w:basedOn w:val="1"/>
    <w:next w:val="1"/>
    <w:link w:val="22"/>
    <w:uiPriority w:val="0"/>
    <w:pPr>
      <w:spacing w:before="240" w:after="60"/>
      <w:jc w:val="center"/>
      <w:outlineLvl w:val="0"/>
    </w:pPr>
    <w:rPr>
      <w:rFonts w:ascii="Cambria" w:hAnsi="Cambria" w:cs="Times New Roman"/>
      <w:b/>
      <w:bCs/>
      <w:sz w:val="32"/>
      <w:szCs w:val="32"/>
    </w:rPr>
  </w:style>
  <w:style w:type="table" w:styleId="11">
    <w:name w:val="Table Grid"/>
    <w:basedOn w:val="1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
    <w:name w:val="Light Shading Accent 2"/>
    <w:basedOn w:val="10"/>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3">
    <w:name w:val="Light Shading Accent 3"/>
    <w:basedOn w:val="10"/>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4">
    <w:name w:val="Light Shading Accent 4"/>
    <w:basedOn w:val="10"/>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16">
    <w:name w:val="Strong"/>
    <w:basedOn w:val="15"/>
    <w:qFormat/>
    <w:uiPriority w:val="0"/>
    <w:rPr>
      <w:b/>
      <w:bCs/>
    </w:rPr>
  </w:style>
  <w:style w:type="character" w:styleId="17">
    <w:name w:val="Hyperlink"/>
    <w:basedOn w:val="15"/>
    <w:qFormat/>
    <w:uiPriority w:val="99"/>
    <w:rPr>
      <w:color w:val="0000FF"/>
      <w:u w:val="single"/>
    </w:rPr>
  </w:style>
  <w:style w:type="character" w:customStyle="1" w:styleId="18">
    <w:name w:val="标题 1 字符"/>
    <w:basedOn w:val="15"/>
    <w:link w:val="2"/>
    <w:semiHidden/>
    <w:uiPriority w:val="0"/>
    <w:rPr>
      <w:rFonts w:ascii="Calibri" w:hAnsi="Calibri" w:cs="黑体"/>
      <w:b/>
      <w:bCs/>
      <w:kern w:val="44"/>
      <w:sz w:val="44"/>
      <w:szCs w:val="44"/>
    </w:rPr>
  </w:style>
  <w:style w:type="character" w:customStyle="1" w:styleId="19">
    <w:name w:val="批注框文本 字符"/>
    <w:basedOn w:val="15"/>
    <w:link w:val="4"/>
    <w:semiHidden/>
    <w:uiPriority w:val="0"/>
    <w:rPr>
      <w:sz w:val="18"/>
      <w:szCs w:val="18"/>
    </w:rPr>
  </w:style>
  <w:style w:type="character" w:customStyle="1" w:styleId="20">
    <w:name w:val="页脚 字符"/>
    <w:basedOn w:val="15"/>
    <w:link w:val="5"/>
    <w:uiPriority w:val="99"/>
    <w:rPr>
      <w:sz w:val="18"/>
      <w:szCs w:val="18"/>
    </w:rPr>
  </w:style>
  <w:style w:type="character" w:customStyle="1" w:styleId="21">
    <w:name w:val="页眉 字符"/>
    <w:basedOn w:val="15"/>
    <w:link w:val="6"/>
    <w:uiPriority w:val="99"/>
    <w:rPr>
      <w:sz w:val="18"/>
      <w:szCs w:val="18"/>
    </w:rPr>
  </w:style>
  <w:style w:type="character" w:customStyle="1" w:styleId="22">
    <w:name w:val="标题 字符"/>
    <w:basedOn w:val="15"/>
    <w:link w:val="9"/>
    <w:semiHidden/>
    <w:qFormat/>
    <w:uiPriority w:val="0"/>
    <w:rPr>
      <w:rFonts w:ascii="Cambria" w:hAnsi="Cambria" w:cs="Times New Roman"/>
      <w:b/>
      <w:bCs/>
      <w:kern w:val="2"/>
      <w:sz w:val="32"/>
      <w:szCs w:val="32"/>
    </w:rPr>
  </w:style>
  <w:style w:type="paragraph" w:customStyle="1" w:styleId="23">
    <w:name w:val="Default"/>
    <w:uiPriority w:val="0"/>
    <w:pPr>
      <w:widowControl w:val="0"/>
      <w:autoSpaceDE w:val="0"/>
      <w:autoSpaceDN w:val="0"/>
      <w:adjustRightInd w:val="0"/>
    </w:pPr>
    <w:rPr>
      <w:rFonts w:ascii="华文新魏" w:hAnsi="Times New Roman" w:eastAsia="华文新魏" w:cs="华文新魏"/>
      <w:color w:val="000000"/>
      <w:sz w:val="24"/>
      <w:szCs w:val="24"/>
      <w:lang w:val="en-US" w:eastAsia="zh-CN" w:bidi="ar-SA"/>
    </w:rPr>
  </w:style>
  <w:style w:type="paragraph" w:customStyle="1" w:styleId="24">
    <w:name w:val="列出段落1"/>
    <w:basedOn w:val="1"/>
    <w:qFormat/>
    <w:uiPriority w:val="0"/>
    <w:pPr>
      <w:ind w:firstLine="420" w:firstLineChars="200"/>
    </w:pPr>
  </w:style>
  <w:style w:type="paragraph" w:customStyle="1" w:styleId="25">
    <w:name w:val="TOC 标题1"/>
    <w:basedOn w:val="2"/>
    <w:next w:val="1"/>
    <w:qFormat/>
    <w:uiPriority w:val="0"/>
    <w:pPr>
      <w:widowControl/>
      <w:spacing w:before="480" w:after="0" w:line="276" w:lineRule="auto"/>
      <w:jc w:val="left"/>
      <w:outlineLvl w:val="9"/>
    </w:pPr>
    <w:rPr>
      <w:rFonts w:ascii="Cambria" w:hAnsi="Cambria" w:cs="Times New Roman"/>
      <w:color w:val="365F91"/>
      <w:kern w:val="0"/>
      <w:sz w:val="28"/>
      <w:szCs w:val="28"/>
    </w:rPr>
  </w:style>
  <w:style w:type="table" w:customStyle="1" w:styleId="26">
    <w:name w:val="浅色底纹1"/>
    <w:basedOn w:val="10"/>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
    <w:name w:val="浅色底纹 - 强调文字颜色 11"/>
    <w:basedOn w:val="10"/>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8">
    <w:name w:val="浅色列表 - 着色 11"/>
    <w:basedOn w:val="10"/>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customStyle="1" w:styleId="29">
    <w:name w:val="Subtle Reference"/>
    <w:basedOn w:val="15"/>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1.pn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642E8-2301-4F50-9241-F524C59200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1566</Words>
  <Characters>8929</Characters>
  <Lines>74</Lines>
  <Paragraphs>20</Paragraphs>
  <TotalTime>3</TotalTime>
  <ScaleCrop>false</ScaleCrop>
  <LinksUpToDate>false</LinksUpToDate>
  <CharactersWithSpaces>10475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2014-02-19T08:57:00Z</dcterms:created>
  <dc:creator>杭州贝腾科技</dc:creator>
  <cp:lastModifiedBy>Administrator</cp:lastModifiedBy>
  <cp:lastPrinted>2019-03-27T08:18:00Z</cp:lastPrinted>
  <dcterms:modified xsi:type="dcterms:W3CDTF">2021-06-09T00:08:15Z</dcterms:modified>
  <dc:title>杭州贝腾科技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637CBA765D694EF994284017B3575CE6</vt:lpwstr>
  </property>
</Properties>
</file>