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sz w:val="28"/>
          <w:szCs w:val="28"/>
        </w:rPr>
      </w:pPr>
      <w:bookmarkStart w:id="0" w:name="_GoBack"/>
      <w:bookmarkEnd w:id="0"/>
      <w:r>
        <w:rPr>
          <w:rFonts w:hint="eastAsia" w:ascii="宋体" w:hAnsi="宋体" w:eastAsia="宋体"/>
          <w:sz w:val="28"/>
          <w:szCs w:val="28"/>
        </w:rPr>
        <w:t>附件：</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035"/>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13" w:type="pct"/>
            <w:vAlign w:val="center"/>
          </w:tcPr>
          <w:p>
            <w:pPr>
              <w:jc w:val="center"/>
              <w:rPr>
                <w:rFonts w:hint="eastAsia" w:ascii="宋体" w:hAnsi="宋体" w:eastAsia="宋体" w:cs="Times New Roman"/>
                <w:b/>
                <w:bCs/>
                <w:sz w:val="24"/>
                <w:szCs w:val="24"/>
              </w:rPr>
            </w:pPr>
            <w:r>
              <w:rPr>
                <w:rFonts w:hint="eastAsia" w:ascii="宋体" w:hAnsi="宋体" w:eastAsia="宋体" w:cs="Times New Roman"/>
                <w:b/>
                <w:bCs/>
                <w:sz w:val="24"/>
                <w:szCs w:val="24"/>
              </w:rPr>
              <w:t>等级</w:t>
            </w:r>
          </w:p>
        </w:tc>
        <w:tc>
          <w:tcPr>
            <w:tcW w:w="2954" w:type="pct"/>
            <w:vAlign w:val="center"/>
          </w:tcPr>
          <w:p>
            <w:pPr>
              <w:jc w:val="center"/>
              <w:rPr>
                <w:rFonts w:hint="eastAsia" w:ascii="宋体" w:hAnsi="宋体" w:eastAsia="宋体" w:cs="Times New Roman"/>
                <w:b/>
                <w:bCs/>
                <w:sz w:val="24"/>
                <w:szCs w:val="24"/>
              </w:rPr>
            </w:pPr>
            <w:r>
              <w:rPr>
                <w:rFonts w:hint="eastAsia" w:ascii="宋体" w:hAnsi="宋体" w:eastAsia="宋体" w:cs="Times New Roman"/>
                <w:b/>
                <w:bCs/>
                <w:sz w:val="24"/>
                <w:szCs w:val="24"/>
              </w:rPr>
              <w:t>作品名称</w:t>
            </w:r>
          </w:p>
        </w:tc>
        <w:tc>
          <w:tcPr>
            <w:tcW w:w="1633" w:type="pct"/>
            <w:vAlign w:val="center"/>
          </w:tcPr>
          <w:p>
            <w:pPr>
              <w:jc w:val="center"/>
              <w:rPr>
                <w:rFonts w:hint="eastAsia" w:ascii="宋体" w:hAnsi="宋体" w:eastAsia="宋体" w:cs="Times New Roman"/>
                <w:b/>
                <w:bCs/>
                <w:sz w:val="24"/>
                <w:szCs w:val="24"/>
              </w:rPr>
            </w:pPr>
            <w:r>
              <w:rPr>
                <w:rFonts w:hint="eastAsia" w:ascii="宋体" w:hAnsi="宋体" w:eastAsia="宋体" w:cs="Times New Roman"/>
                <w:b/>
                <w:bCs/>
                <w:sz w:val="24"/>
                <w:szCs w:val="24"/>
              </w:rPr>
              <w:t>作者名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3" w:type="pct"/>
            <w:vMerge w:val="restart"/>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一等奖</w:t>
            </w:r>
          </w:p>
        </w:tc>
        <w:tc>
          <w:tcPr>
            <w:tcW w:w="2954"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kern w:val="0"/>
                <w:sz w:val="24"/>
                <w:szCs w:val="24"/>
              </w:rPr>
              <w:t>武陵山脉及周边地区掌突蟾属物种整合分类研究</w:t>
            </w:r>
          </w:p>
        </w:tc>
        <w:tc>
          <w:tcPr>
            <w:tcW w:w="1633"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kern w:val="0"/>
                <w:sz w:val="24"/>
                <w:szCs w:val="24"/>
              </w:rPr>
              <w:t>黄杰、李欣雨、熊姝红、徐杨、郑淑娴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13" w:type="pct"/>
            <w:vMerge w:val="continue"/>
            <w:vAlign w:val="center"/>
          </w:tcPr>
          <w:p>
            <w:pPr>
              <w:jc w:val="center"/>
              <w:rPr>
                <w:rFonts w:hint="eastAsia" w:ascii="宋体" w:hAnsi="宋体" w:eastAsia="宋体" w:cs="Times New Roman"/>
                <w:sz w:val="24"/>
                <w:szCs w:val="24"/>
              </w:rPr>
            </w:pPr>
          </w:p>
        </w:tc>
        <w:tc>
          <w:tcPr>
            <w:tcW w:w="2954"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kern w:val="0"/>
                <w:sz w:val="24"/>
                <w:szCs w:val="24"/>
              </w:rPr>
              <w:t>干旱胁迫下RCN1协同ABA调控水稻幼穗分化的分子机制研究</w:t>
            </w:r>
          </w:p>
        </w:tc>
        <w:tc>
          <w:tcPr>
            <w:tcW w:w="1633"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kern w:val="0"/>
                <w:sz w:val="24"/>
                <w:szCs w:val="24"/>
              </w:rPr>
              <w:t>钟欣桐、刘昱、李沛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13" w:type="pct"/>
            <w:vMerge w:val="continue"/>
            <w:vAlign w:val="center"/>
          </w:tcPr>
          <w:p>
            <w:pPr>
              <w:jc w:val="center"/>
              <w:rPr>
                <w:rFonts w:hint="eastAsia" w:ascii="宋体" w:hAnsi="宋体" w:eastAsia="宋体" w:cs="Times New Roman"/>
                <w:sz w:val="24"/>
                <w:szCs w:val="24"/>
              </w:rPr>
            </w:pPr>
          </w:p>
        </w:tc>
        <w:tc>
          <w:tcPr>
            <w:tcW w:w="2954" w:type="pct"/>
            <w:vAlign w:val="center"/>
          </w:tcPr>
          <w:p>
            <w:pPr>
              <w:widowControl/>
              <w:jc w:val="center"/>
              <w:textAlignment w:val="center"/>
              <w:rPr>
                <w:rFonts w:hint="eastAsia" w:ascii="宋体" w:hAnsi="宋体" w:eastAsia="宋体" w:cs="Times New Roman"/>
                <w:color w:val="000000"/>
                <w:kern w:val="0"/>
                <w:sz w:val="24"/>
                <w:szCs w:val="24"/>
              </w:rPr>
            </w:pPr>
            <w:r>
              <w:rPr>
                <w:rFonts w:hint="eastAsia" w:ascii="宋体" w:hAnsi="宋体" w:eastAsia="宋体" w:cs="宋体"/>
                <w:color w:val="000000"/>
                <w:kern w:val="0"/>
                <w:sz w:val="24"/>
                <w:szCs w:val="24"/>
              </w:rPr>
              <w:t>岩溶洞穴鱼新种的发现与研究</w:t>
            </w:r>
          </w:p>
        </w:tc>
        <w:tc>
          <w:tcPr>
            <w:tcW w:w="1633" w:type="pct"/>
            <w:vAlign w:val="center"/>
          </w:tcPr>
          <w:p>
            <w:pPr>
              <w:widowControl/>
              <w:jc w:val="center"/>
              <w:textAlignment w:val="center"/>
              <w:rPr>
                <w:rFonts w:hint="eastAsia" w:ascii="宋体" w:hAnsi="宋体" w:eastAsia="宋体" w:cs="Times New Roman"/>
                <w:color w:val="000000"/>
                <w:kern w:val="0"/>
                <w:sz w:val="24"/>
                <w:szCs w:val="24"/>
              </w:rPr>
            </w:pPr>
            <w:r>
              <w:rPr>
                <w:rFonts w:hint="eastAsia" w:ascii="宋体" w:hAnsi="宋体" w:eastAsia="宋体" w:cs="宋体"/>
                <w:color w:val="000000"/>
                <w:kern w:val="0"/>
                <w:sz w:val="24"/>
                <w:szCs w:val="24"/>
              </w:rPr>
              <w:t>姚闯、周贵评、陈琴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13" w:type="pct"/>
            <w:vMerge w:val="continue"/>
            <w:vAlign w:val="center"/>
          </w:tcPr>
          <w:p>
            <w:pPr>
              <w:jc w:val="center"/>
              <w:rPr>
                <w:rFonts w:hint="eastAsia" w:ascii="宋体" w:hAnsi="宋体" w:eastAsia="宋体" w:cs="Times New Roman"/>
                <w:sz w:val="24"/>
                <w:szCs w:val="24"/>
              </w:rPr>
            </w:pPr>
          </w:p>
        </w:tc>
        <w:tc>
          <w:tcPr>
            <w:tcW w:w="2954" w:type="pct"/>
            <w:vAlign w:val="center"/>
          </w:tcPr>
          <w:p>
            <w:pPr>
              <w:widowControl/>
              <w:jc w:val="center"/>
              <w:textAlignment w:val="center"/>
              <w:rPr>
                <w:rFonts w:hint="eastAsia" w:ascii="宋体" w:hAnsi="宋体" w:eastAsia="宋体" w:cs="Times New Roman"/>
                <w:color w:val="000000"/>
                <w:kern w:val="0"/>
                <w:sz w:val="24"/>
                <w:szCs w:val="24"/>
              </w:rPr>
            </w:pPr>
            <w:r>
              <w:rPr>
                <w:rFonts w:hint="eastAsia" w:ascii="宋体" w:hAnsi="宋体" w:eastAsia="宋体" w:cs="宋体"/>
                <w:color w:val="000000"/>
                <w:kern w:val="0"/>
                <w:sz w:val="24"/>
                <w:szCs w:val="24"/>
              </w:rPr>
              <w:t>洞穴驼螽的新种鉴定，行为观察及异速生长研究</w:t>
            </w:r>
          </w:p>
        </w:tc>
        <w:tc>
          <w:tcPr>
            <w:tcW w:w="1633" w:type="pct"/>
            <w:vAlign w:val="center"/>
          </w:tcPr>
          <w:p>
            <w:pPr>
              <w:widowControl/>
              <w:jc w:val="center"/>
              <w:textAlignment w:val="center"/>
              <w:rPr>
                <w:rFonts w:hint="eastAsia" w:ascii="宋体" w:hAnsi="宋体" w:eastAsia="宋体" w:cs="Times New Roman"/>
                <w:color w:val="000000"/>
                <w:kern w:val="0"/>
                <w:sz w:val="24"/>
                <w:szCs w:val="24"/>
              </w:rPr>
            </w:pPr>
            <w:r>
              <w:rPr>
                <w:rFonts w:hint="eastAsia" w:ascii="宋体" w:hAnsi="宋体" w:eastAsia="宋体" w:cs="宋体"/>
                <w:color w:val="000000"/>
                <w:kern w:val="0"/>
                <w:sz w:val="24"/>
                <w:szCs w:val="24"/>
              </w:rPr>
              <w:t>胡慧、郑志兰、肖丽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13" w:type="pct"/>
            <w:vMerge w:val="restart"/>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二等奖</w:t>
            </w:r>
          </w:p>
        </w:tc>
        <w:tc>
          <w:tcPr>
            <w:tcW w:w="2954"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kern w:val="0"/>
                <w:sz w:val="24"/>
                <w:szCs w:val="24"/>
              </w:rPr>
              <w:t>水稻OsSusy1基因调控水稻分蘖的生理机制研究</w:t>
            </w:r>
          </w:p>
        </w:tc>
        <w:tc>
          <w:tcPr>
            <w:tcW w:w="1633"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kern w:val="0"/>
                <w:sz w:val="24"/>
                <w:szCs w:val="24"/>
              </w:rPr>
              <w:t>蒋赞、肖邺、黄嘉慧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13" w:type="pct"/>
            <w:vMerge w:val="continue"/>
            <w:vAlign w:val="center"/>
          </w:tcPr>
          <w:p>
            <w:pPr>
              <w:jc w:val="center"/>
              <w:rPr>
                <w:rFonts w:hint="eastAsia" w:ascii="宋体" w:hAnsi="宋体" w:eastAsia="宋体" w:cs="Times New Roman"/>
                <w:sz w:val="24"/>
                <w:szCs w:val="24"/>
              </w:rPr>
            </w:pPr>
          </w:p>
        </w:tc>
        <w:tc>
          <w:tcPr>
            <w:tcW w:w="2954" w:type="pct"/>
            <w:vAlign w:val="center"/>
          </w:tcPr>
          <w:p>
            <w:pPr>
              <w:widowControl/>
              <w:jc w:val="center"/>
              <w:textAlignment w:val="center"/>
              <w:rPr>
                <w:rFonts w:hint="eastAsia" w:ascii="宋体" w:hAnsi="宋体" w:eastAsia="宋体" w:cs="Times New Roman"/>
                <w:color w:val="000000"/>
                <w:kern w:val="0"/>
                <w:sz w:val="24"/>
                <w:szCs w:val="24"/>
              </w:rPr>
            </w:pPr>
            <w:r>
              <w:rPr>
                <w:rFonts w:hint="eastAsia" w:ascii="宋体" w:hAnsi="宋体" w:eastAsia="宋体" w:cs="宋体"/>
                <w:color w:val="000000"/>
                <w:kern w:val="0"/>
                <w:sz w:val="24"/>
                <w:szCs w:val="24"/>
              </w:rPr>
              <w:t>亚致死毒死蜱对水生昆虫炎黄星齿蛉机械感受行为的影响</w:t>
            </w:r>
          </w:p>
        </w:tc>
        <w:tc>
          <w:tcPr>
            <w:tcW w:w="1633" w:type="pct"/>
            <w:vAlign w:val="center"/>
          </w:tcPr>
          <w:p>
            <w:pPr>
              <w:widowControl/>
              <w:jc w:val="center"/>
              <w:textAlignment w:val="center"/>
              <w:rPr>
                <w:rFonts w:hint="eastAsia" w:ascii="宋体" w:hAnsi="宋体" w:eastAsia="宋体" w:cs="Times New Roman"/>
                <w:color w:val="000000"/>
                <w:kern w:val="0"/>
                <w:sz w:val="24"/>
                <w:szCs w:val="24"/>
              </w:rPr>
            </w:pPr>
            <w:r>
              <w:rPr>
                <w:rFonts w:hint="eastAsia" w:ascii="宋体" w:hAnsi="宋体" w:eastAsia="宋体" w:cs="宋体"/>
                <w:color w:val="000000"/>
                <w:kern w:val="0"/>
                <w:sz w:val="24"/>
                <w:szCs w:val="24"/>
              </w:rPr>
              <w:t>蒋丽芳、范玉婷、陈婧仪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13" w:type="pct"/>
            <w:vMerge w:val="continue"/>
            <w:vAlign w:val="center"/>
          </w:tcPr>
          <w:p>
            <w:pPr>
              <w:jc w:val="center"/>
              <w:rPr>
                <w:rFonts w:hint="eastAsia" w:ascii="宋体" w:hAnsi="宋体" w:eastAsia="宋体" w:cs="Times New Roman"/>
                <w:sz w:val="24"/>
                <w:szCs w:val="24"/>
              </w:rPr>
            </w:pPr>
          </w:p>
        </w:tc>
        <w:tc>
          <w:tcPr>
            <w:tcW w:w="2954"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kern w:val="0"/>
                <w:sz w:val="24"/>
                <w:szCs w:val="24"/>
              </w:rPr>
              <w:t>狭域物种吉首蒲儿根有性更新限制因素的研究</w:t>
            </w:r>
          </w:p>
        </w:tc>
        <w:tc>
          <w:tcPr>
            <w:tcW w:w="1633"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kern w:val="0"/>
                <w:sz w:val="24"/>
                <w:szCs w:val="24"/>
              </w:rPr>
              <w:t>廖慧芳、唐青青、孙佳怡、黄娜、李嘉钰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13" w:type="pct"/>
            <w:vMerge w:val="continue"/>
            <w:vAlign w:val="center"/>
          </w:tcPr>
          <w:p>
            <w:pPr>
              <w:jc w:val="center"/>
              <w:rPr>
                <w:rFonts w:hint="eastAsia" w:ascii="宋体" w:hAnsi="宋体" w:eastAsia="宋体" w:cs="Times New Roman"/>
                <w:sz w:val="24"/>
                <w:szCs w:val="24"/>
              </w:rPr>
            </w:pPr>
          </w:p>
        </w:tc>
        <w:tc>
          <w:tcPr>
            <w:tcW w:w="2954"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kern w:val="0"/>
                <w:sz w:val="24"/>
                <w:szCs w:val="24"/>
              </w:rPr>
              <w:t>探究风媒禾本科物种花粉粒大小的演化</w:t>
            </w:r>
          </w:p>
        </w:tc>
        <w:tc>
          <w:tcPr>
            <w:tcW w:w="1633"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kern w:val="0"/>
                <w:sz w:val="24"/>
                <w:szCs w:val="24"/>
              </w:rPr>
              <w:t>彭丽霞、叶思琪、郑锦、王雨欣、谢婉莹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13" w:type="pct"/>
            <w:vMerge w:val="continue"/>
            <w:vAlign w:val="center"/>
          </w:tcPr>
          <w:p>
            <w:pPr>
              <w:jc w:val="center"/>
              <w:rPr>
                <w:rFonts w:hint="eastAsia" w:ascii="宋体" w:hAnsi="宋体" w:eastAsia="宋体" w:cs="Times New Roman"/>
                <w:sz w:val="24"/>
                <w:szCs w:val="24"/>
              </w:rPr>
            </w:pPr>
          </w:p>
        </w:tc>
        <w:tc>
          <w:tcPr>
            <w:tcW w:w="2954" w:type="pct"/>
            <w:vAlign w:val="center"/>
          </w:tcPr>
          <w:p>
            <w:pPr>
              <w:widowControl/>
              <w:jc w:val="center"/>
              <w:textAlignment w:val="center"/>
              <w:rPr>
                <w:rFonts w:hint="eastAsia" w:ascii="宋体" w:hAnsi="宋体" w:eastAsia="宋体" w:cs="Times New Roman"/>
                <w:color w:val="000000"/>
                <w:kern w:val="0"/>
                <w:sz w:val="24"/>
                <w:szCs w:val="24"/>
              </w:rPr>
            </w:pPr>
            <w:r>
              <w:rPr>
                <w:rFonts w:hint="eastAsia" w:ascii="宋体" w:hAnsi="宋体" w:eastAsia="宋体" w:cs="宋体"/>
                <w:color w:val="000000"/>
                <w:kern w:val="0"/>
                <w:sz w:val="24"/>
                <w:szCs w:val="24"/>
              </w:rPr>
              <w:t>栝楼皮提取物降糖作用及机制研究</w:t>
            </w:r>
          </w:p>
        </w:tc>
        <w:tc>
          <w:tcPr>
            <w:tcW w:w="1633" w:type="pct"/>
            <w:vAlign w:val="center"/>
          </w:tcPr>
          <w:p>
            <w:pPr>
              <w:widowControl/>
              <w:jc w:val="center"/>
              <w:textAlignment w:val="center"/>
              <w:rPr>
                <w:rFonts w:hint="eastAsia" w:ascii="宋体" w:hAnsi="宋体" w:eastAsia="宋体" w:cs="Times New Roman"/>
                <w:color w:val="000000"/>
                <w:kern w:val="0"/>
                <w:sz w:val="24"/>
                <w:szCs w:val="24"/>
              </w:rPr>
            </w:pPr>
            <w:r>
              <w:rPr>
                <w:rFonts w:hint="eastAsia" w:ascii="宋体" w:hAnsi="宋体" w:eastAsia="宋体" w:cs="宋体"/>
                <w:color w:val="000000"/>
                <w:kern w:val="0"/>
                <w:sz w:val="24"/>
                <w:szCs w:val="24"/>
              </w:rPr>
              <w:t>崔瑶、夏晨涛、刘菲、朱家馨、王思沁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13" w:type="pct"/>
            <w:vMerge w:val="continue"/>
            <w:vAlign w:val="center"/>
          </w:tcPr>
          <w:p>
            <w:pPr>
              <w:jc w:val="center"/>
              <w:rPr>
                <w:rFonts w:hint="eastAsia" w:ascii="宋体" w:hAnsi="宋体" w:eastAsia="宋体" w:cs="Times New Roman"/>
                <w:sz w:val="24"/>
                <w:szCs w:val="24"/>
              </w:rPr>
            </w:pPr>
          </w:p>
        </w:tc>
        <w:tc>
          <w:tcPr>
            <w:tcW w:w="2954" w:type="pct"/>
            <w:vAlign w:val="center"/>
          </w:tcPr>
          <w:p>
            <w:pPr>
              <w:widowControl/>
              <w:jc w:val="center"/>
              <w:textAlignment w:val="center"/>
              <w:rPr>
                <w:rFonts w:hint="eastAsia" w:ascii="宋体" w:hAnsi="宋体" w:eastAsia="宋体" w:cs="Times New Roman"/>
                <w:color w:val="000000"/>
                <w:kern w:val="0"/>
                <w:sz w:val="24"/>
                <w:szCs w:val="24"/>
              </w:rPr>
            </w:pPr>
            <w:r>
              <w:rPr>
                <w:rFonts w:hint="eastAsia" w:ascii="宋体" w:hAnsi="宋体" w:eastAsia="宋体" w:cs="宋体"/>
                <w:color w:val="000000"/>
                <w:kern w:val="0"/>
                <w:sz w:val="24"/>
                <w:szCs w:val="24"/>
              </w:rPr>
              <w:t>隐性雌雄异株物种中华猕猴桃雌雄花粉对蜜蜂生长发育的影响</w:t>
            </w:r>
          </w:p>
        </w:tc>
        <w:tc>
          <w:tcPr>
            <w:tcW w:w="1633" w:type="pct"/>
            <w:vAlign w:val="center"/>
          </w:tcPr>
          <w:p>
            <w:pPr>
              <w:widowControl/>
              <w:jc w:val="center"/>
              <w:textAlignment w:val="center"/>
              <w:rPr>
                <w:rFonts w:hint="eastAsia" w:ascii="宋体" w:hAnsi="宋体" w:eastAsia="宋体" w:cs="Times New Roman"/>
                <w:color w:val="000000"/>
                <w:kern w:val="0"/>
                <w:sz w:val="24"/>
                <w:szCs w:val="24"/>
              </w:rPr>
            </w:pPr>
            <w:r>
              <w:rPr>
                <w:rFonts w:hint="eastAsia" w:ascii="宋体" w:hAnsi="宋体" w:eastAsia="宋体" w:cs="宋体"/>
                <w:color w:val="000000"/>
                <w:kern w:val="0"/>
                <w:sz w:val="24"/>
                <w:szCs w:val="24"/>
              </w:rPr>
              <w:t>张丽娟、王蓉、姚佳乐、张亦婷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413" w:type="pct"/>
            <w:vMerge w:val="restart"/>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三等奖</w:t>
            </w:r>
          </w:p>
        </w:tc>
        <w:tc>
          <w:tcPr>
            <w:tcW w:w="2954"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植物乳杆菌的筛选及其抑制霉菌生长机制研究</w:t>
            </w:r>
          </w:p>
        </w:tc>
        <w:tc>
          <w:tcPr>
            <w:tcW w:w="1633"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易子琼、樊锦艺、陈琴、王琬婷、汤飞扬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3" w:type="pct"/>
            <w:vMerge w:val="continue"/>
            <w:vAlign w:val="center"/>
          </w:tcPr>
          <w:p>
            <w:pPr>
              <w:jc w:val="center"/>
              <w:rPr>
                <w:rFonts w:hint="eastAsia" w:ascii="宋体" w:hAnsi="宋体" w:eastAsia="宋体" w:cs="Times New Roman"/>
                <w:sz w:val="24"/>
                <w:szCs w:val="24"/>
              </w:rPr>
            </w:pPr>
          </w:p>
        </w:tc>
        <w:tc>
          <w:tcPr>
            <w:tcW w:w="2954"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元宝草中异戊烯基酰基间苯三酚类成分的抗抑郁作用及机制研究</w:t>
            </w:r>
          </w:p>
        </w:tc>
        <w:tc>
          <w:tcPr>
            <w:tcW w:w="1633"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李心瑶、雷丰媛、何婷湘、</w:t>
            </w:r>
            <w:r>
              <w:rPr>
                <w:rFonts w:hint="eastAsia" w:ascii="宋体" w:hAnsi="宋体" w:eastAsia="宋体" w:cs="Times New Roman"/>
                <w:color w:val="000000"/>
                <w:sz w:val="24"/>
                <w:szCs w:val="24"/>
              </w:rPr>
              <w:t>张洋、</w:t>
            </w:r>
            <w:r>
              <w:rPr>
                <w:rFonts w:hint="eastAsia" w:ascii="宋体" w:hAnsi="宋体" w:eastAsia="宋体" w:cs="宋体"/>
                <w:color w:val="000000"/>
                <w:sz w:val="24"/>
                <w:szCs w:val="24"/>
              </w:rPr>
              <w:t>陈丽萍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3" w:type="pct"/>
            <w:vMerge w:val="continue"/>
            <w:vAlign w:val="center"/>
          </w:tcPr>
          <w:p>
            <w:pPr>
              <w:jc w:val="center"/>
              <w:rPr>
                <w:rFonts w:hint="eastAsia" w:ascii="宋体" w:hAnsi="宋体" w:eastAsia="宋体" w:cs="Times New Roman"/>
                <w:sz w:val="24"/>
                <w:szCs w:val="24"/>
              </w:rPr>
            </w:pPr>
          </w:p>
        </w:tc>
        <w:tc>
          <w:tcPr>
            <w:tcW w:w="2954"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十八洞洞群动物资源多样性及新类群鉴定</w:t>
            </w:r>
          </w:p>
        </w:tc>
        <w:tc>
          <w:tcPr>
            <w:tcW w:w="1633"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沈霏雪、唐艳、谢媛媛、于佳丽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3" w:type="pct"/>
            <w:vMerge w:val="continue"/>
            <w:vAlign w:val="center"/>
          </w:tcPr>
          <w:p>
            <w:pPr>
              <w:jc w:val="center"/>
              <w:rPr>
                <w:rFonts w:hint="eastAsia" w:ascii="宋体" w:hAnsi="宋体" w:eastAsia="宋体" w:cs="Times New Roman"/>
                <w:sz w:val="24"/>
                <w:szCs w:val="24"/>
              </w:rPr>
            </w:pPr>
          </w:p>
        </w:tc>
        <w:tc>
          <w:tcPr>
            <w:tcW w:w="2954"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管萼山豆根内生真菌对愈伤组织产喹诺里西啶类生物碱的促进作用及机制初探</w:t>
            </w:r>
          </w:p>
        </w:tc>
        <w:tc>
          <w:tcPr>
            <w:tcW w:w="1633"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尹欣联、汪优、张灿、王晴、杨镇嘉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3" w:type="pct"/>
            <w:vMerge w:val="continue"/>
            <w:vAlign w:val="center"/>
          </w:tcPr>
          <w:p>
            <w:pPr>
              <w:jc w:val="center"/>
              <w:rPr>
                <w:rFonts w:hint="eastAsia" w:ascii="宋体" w:hAnsi="宋体" w:eastAsia="宋体" w:cs="Times New Roman"/>
                <w:sz w:val="24"/>
                <w:szCs w:val="24"/>
              </w:rPr>
            </w:pPr>
          </w:p>
        </w:tc>
        <w:tc>
          <w:tcPr>
            <w:tcW w:w="2954"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VGLL4调控的STAT3信号通路在低氧性肺动脉高压中的作用及机制</w:t>
            </w:r>
          </w:p>
        </w:tc>
        <w:tc>
          <w:tcPr>
            <w:tcW w:w="1633"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龙子轩、蒋海辉、胡子祺、丁亦婷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3" w:type="pct"/>
            <w:vMerge w:val="continue"/>
            <w:vAlign w:val="center"/>
          </w:tcPr>
          <w:p>
            <w:pPr>
              <w:jc w:val="center"/>
              <w:rPr>
                <w:rFonts w:hint="eastAsia" w:ascii="宋体" w:hAnsi="宋体" w:eastAsia="宋体" w:cs="Times New Roman"/>
                <w:sz w:val="24"/>
                <w:szCs w:val="24"/>
              </w:rPr>
            </w:pPr>
          </w:p>
        </w:tc>
        <w:tc>
          <w:tcPr>
            <w:tcW w:w="2954"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基于冬夏两季皮肤问题研究复方精油护肤防冻、驱蚊止痒的功效</w:t>
            </w:r>
          </w:p>
        </w:tc>
        <w:tc>
          <w:tcPr>
            <w:tcW w:w="1633"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黄宇妍、李熠、毛天星、沈盈莹、罗雅文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3" w:type="pct"/>
            <w:vMerge w:val="continue"/>
            <w:vAlign w:val="center"/>
          </w:tcPr>
          <w:p>
            <w:pPr>
              <w:jc w:val="center"/>
              <w:rPr>
                <w:rFonts w:hint="eastAsia" w:ascii="宋体" w:hAnsi="宋体" w:eastAsia="宋体" w:cs="Times New Roman"/>
                <w:sz w:val="24"/>
                <w:szCs w:val="24"/>
              </w:rPr>
            </w:pPr>
          </w:p>
        </w:tc>
        <w:tc>
          <w:tcPr>
            <w:tcW w:w="2954"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密孔菌锰过氧化物酶基因多样性分析</w:t>
            </w:r>
          </w:p>
        </w:tc>
        <w:tc>
          <w:tcPr>
            <w:tcW w:w="1633"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周艺慧、郑世宏、黄嘉欣、肖颖、刘隆奇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3" w:type="pct"/>
            <w:vMerge w:val="continue"/>
            <w:vAlign w:val="center"/>
          </w:tcPr>
          <w:p>
            <w:pPr>
              <w:jc w:val="center"/>
              <w:rPr>
                <w:rFonts w:hint="eastAsia" w:ascii="宋体" w:hAnsi="宋体" w:eastAsia="宋体" w:cs="Times New Roman"/>
                <w:sz w:val="24"/>
                <w:szCs w:val="24"/>
              </w:rPr>
            </w:pPr>
          </w:p>
        </w:tc>
        <w:tc>
          <w:tcPr>
            <w:tcW w:w="2954"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天目山蛭感受器的功能形态学特征和防蛭新技术研究</w:t>
            </w:r>
          </w:p>
        </w:tc>
        <w:tc>
          <w:tcPr>
            <w:tcW w:w="1633"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陈斯斯、李意、汤恩泽、谢新如、吕芙蓉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3" w:type="pct"/>
            <w:vMerge w:val="continue"/>
            <w:vAlign w:val="center"/>
          </w:tcPr>
          <w:p>
            <w:pPr>
              <w:jc w:val="center"/>
              <w:rPr>
                <w:rFonts w:hint="eastAsia" w:ascii="宋体" w:hAnsi="宋体" w:eastAsia="宋体" w:cs="Times New Roman"/>
                <w:sz w:val="24"/>
                <w:szCs w:val="24"/>
              </w:rPr>
            </w:pPr>
          </w:p>
        </w:tc>
        <w:tc>
          <w:tcPr>
            <w:tcW w:w="2954"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花垣县Pb、Zn矿区重金属超富集植物筛选</w:t>
            </w:r>
          </w:p>
        </w:tc>
        <w:tc>
          <w:tcPr>
            <w:tcW w:w="1633"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蒋佳媛、刘柏汝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3" w:type="pct"/>
            <w:vMerge w:val="continue"/>
            <w:vAlign w:val="center"/>
          </w:tcPr>
          <w:p>
            <w:pPr>
              <w:jc w:val="center"/>
              <w:rPr>
                <w:rFonts w:hint="eastAsia" w:ascii="宋体" w:hAnsi="宋体" w:eastAsia="宋体" w:cs="Times New Roman"/>
                <w:sz w:val="24"/>
                <w:szCs w:val="24"/>
              </w:rPr>
            </w:pPr>
          </w:p>
        </w:tc>
        <w:tc>
          <w:tcPr>
            <w:tcW w:w="2954"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老化处理和种子含水率对落叶木莲活力的影响</w:t>
            </w:r>
          </w:p>
        </w:tc>
        <w:tc>
          <w:tcPr>
            <w:tcW w:w="1633"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苏新月、田力、黄雯彦、邓苏凌、王大为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3" w:type="pct"/>
            <w:vMerge w:val="continue"/>
            <w:vAlign w:val="center"/>
          </w:tcPr>
          <w:p>
            <w:pPr>
              <w:jc w:val="center"/>
              <w:rPr>
                <w:rFonts w:hint="eastAsia" w:ascii="宋体" w:hAnsi="宋体" w:eastAsia="宋体" w:cs="Times New Roman"/>
                <w:sz w:val="24"/>
                <w:szCs w:val="24"/>
              </w:rPr>
            </w:pPr>
          </w:p>
        </w:tc>
        <w:tc>
          <w:tcPr>
            <w:tcW w:w="2954"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木犀草素靶向调控铜死亡相关蛋白tp53抑制乳腺癌细胞的作用机制研究</w:t>
            </w:r>
          </w:p>
        </w:tc>
        <w:tc>
          <w:tcPr>
            <w:tcW w:w="1633" w:type="pct"/>
            <w:vAlign w:val="center"/>
          </w:tcPr>
          <w:p>
            <w:pPr>
              <w:widowControl/>
              <w:jc w:val="center"/>
              <w:textAlignment w:val="center"/>
              <w:rPr>
                <w:rFonts w:hint="eastAsia" w:ascii="宋体" w:hAnsi="宋体" w:eastAsia="宋体" w:cs="Times New Roman"/>
                <w:color w:val="000000"/>
                <w:sz w:val="24"/>
                <w:szCs w:val="24"/>
              </w:rPr>
            </w:pPr>
            <w:r>
              <w:rPr>
                <w:rFonts w:hint="eastAsia" w:ascii="宋体" w:hAnsi="宋体" w:eastAsia="宋体" w:cs="宋体"/>
                <w:color w:val="000000"/>
                <w:sz w:val="24"/>
                <w:szCs w:val="24"/>
              </w:rPr>
              <w:t>周偌娴、赵婷、王璐、禹欣、谭茜</w:t>
            </w:r>
          </w:p>
        </w:tc>
      </w:tr>
    </w:tbl>
    <w:p>
      <w:pPr>
        <w:jc w:val="left"/>
        <w:rPr>
          <w:rFonts w:hint="eastAsia"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mYmVhMGQ2YWQwOTc0ZDFkYmVkZTE0NzFkNThlYzIifQ=="/>
    <w:docVar w:name="KSO_WPS_MARK_KEY" w:val="d244de0f-1684-4c19-b20d-081950491ff8"/>
  </w:docVars>
  <w:rsids>
    <w:rsidRoot w:val="008D2E7D"/>
    <w:rsid w:val="000A1A78"/>
    <w:rsid w:val="000A31E2"/>
    <w:rsid w:val="00124904"/>
    <w:rsid w:val="001723A2"/>
    <w:rsid w:val="002D72B9"/>
    <w:rsid w:val="002F1952"/>
    <w:rsid w:val="00361853"/>
    <w:rsid w:val="00386D69"/>
    <w:rsid w:val="003E3DA0"/>
    <w:rsid w:val="00402694"/>
    <w:rsid w:val="004358A9"/>
    <w:rsid w:val="00452B13"/>
    <w:rsid w:val="0046781B"/>
    <w:rsid w:val="004E5CC5"/>
    <w:rsid w:val="00591ED8"/>
    <w:rsid w:val="005B7FE5"/>
    <w:rsid w:val="006B02A1"/>
    <w:rsid w:val="006C7F48"/>
    <w:rsid w:val="00770D76"/>
    <w:rsid w:val="00853D7A"/>
    <w:rsid w:val="008541ED"/>
    <w:rsid w:val="0087763B"/>
    <w:rsid w:val="008D2E7D"/>
    <w:rsid w:val="00933B9B"/>
    <w:rsid w:val="009766CA"/>
    <w:rsid w:val="009814C2"/>
    <w:rsid w:val="00992CB7"/>
    <w:rsid w:val="00A27737"/>
    <w:rsid w:val="00A52415"/>
    <w:rsid w:val="00A643E6"/>
    <w:rsid w:val="00AB58BF"/>
    <w:rsid w:val="00AC344B"/>
    <w:rsid w:val="00AD4AD8"/>
    <w:rsid w:val="00B11FF9"/>
    <w:rsid w:val="00B87A8C"/>
    <w:rsid w:val="00CB345D"/>
    <w:rsid w:val="00D145DF"/>
    <w:rsid w:val="00D76A4B"/>
    <w:rsid w:val="00D85030"/>
    <w:rsid w:val="00DA3CDF"/>
    <w:rsid w:val="00DB5C7C"/>
    <w:rsid w:val="00E32937"/>
    <w:rsid w:val="00E84D5A"/>
    <w:rsid w:val="00EB06E9"/>
    <w:rsid w:val="00ED7AF9"/>
    <w:rsid w:val="00F37AF7"/>
    <w:rsid w:val="00F43DA4"/>
    <w:rsid w:val="00F535E7"/>
    <w:rsid w:val="00F618D5"/>
    <w:rsid w:val="00F7393E"/>
    <w:rsid w:val="00FE2E80"/>
    <w:rsid w:val="20FC15BA"/>
    <w:rsid w:val="53DB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未处理的提及1"/>
    <w:basedOn w:val="6"/>
    <w:semiHidden/>
    <w:unhideWhenUsed/>
    <w:qFormat/>
    <w:uiPriority w:val="99"/>
    <w:rPr>
      <w:color w:val="605E5C"/>
      <w:shd w:val="clear" w:color="auto" w:fill="E1DFDD"/>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1032</Words>
  <Characters>1090</Characters>
  <Lines>8</Lines>
  <Paragraphs>2</Paragraphs>
  <TotalTime>21</TotalTime>
  <ScaleCrop>false</ScaleCrop>
  <LinksUpToDate>false</LinksUpToDate>
  <CharactersWithSpaces>1090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2025-03-16T11:59:00Z</dcterms:created>
  <dc:creator>林 刘</dc:creator>
  <cp:lastModifiedBy>winnie</cp:lastModifiedBy>
  <dcterms:modified xsi:type="dcterms:W3CDTF">2025-03-17T02:15:42Z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EAE5B84C821448EEAD1E5D16937CED8D_12</vt:lpwstr>
  </property>
</Properties>
</file>